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无锡市中小学社会实践平台学校端操作手册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系统登录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PC浏览器或手机端输入http://yanxue.wxtoo.cn/schoolm/，通过学校管理的手机号码获取验证码进行登录。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265420" cy="329311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8124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活动发布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学校可发布实践活动，点击“活动管理”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5420" cy="1938020"/>
            <wp:effectExtent l="0" t="0" r="1143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2.1、输入活动分类、适用学段、活动类型、活动标题、活动时间、活动封面、活动内容完成活动基础信息的发布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6055" cy="3636010"/>
            <wp:effectExtent l="0" t="0" r="1079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其中活动类型分为校内活动和基地活动两类。基地活动需提前联系社会实践活动基地，申请通过后可发布。校内活动为校内组织可直接发布。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 发布好活动需设置活动报名，点击“报名设置”完成对报名时间、人数、报名字段的提交。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4150" cy="2864485"/>
            <wp:effectExtent l="0" t="0" r="1270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活动查看与签到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点击“报名管理”可查看活动参与人并可对参与人进行手工签到</w:t>
      </w:r>
    </w:p>
    <w:p>
      <w:pPr>
        <w:numPr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6055" cy="1675765"/>
            <wp:effectExtent l="0" t="0" r="1079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Style w:val="6"/>
          <w:rFonts w:hint="eastAsia"/>
          <w:lang w:val="en-US" w:eastAsia="zh-CN"/>
        </w:rPr>
        <w:t>学生管理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可查看平台内本校学生的人员信息。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学习管理（待开放）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可查看平台内本校学生的视频课程的学习情况。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签到管理</w:t>
      </w:r>
    </w:p>
    <w:p>
      <w:pPr>
        <w:widowControl w:val="0"/>
        <w:numPr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平台也提供了手机二维码的方式进行签到。学生或家长出示报名完成后的二维码信息。即可完成签到。</w:t>
      </w:r>
    </w:p>
    <w:p>
      <w:pPr>
        <w:widowControl w:val="0"/>
        <w:numPr>
          <w:numId w:val="0"/>
        </w:numPr>
        <w:spacing w:line="360" w:lineRule="auto"/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181475" cy="7629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07142"/>
    <w:multiLevelType w:val="singleLevel"/>
    <w:tmpl w:val="DC0071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zdjZmVkNzQyZjkyYjFkNjIwMTZjMTFhY2M0OWMifQ=="/>
  </w:docVars>
  <w:rsids>
    <w:rsidRoot w:val="00000000"/>
    <w:rsid w:val="774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2022-09-27T05:03:13Z</dcterms:created>
  <dc:creator>chayedan</dc:creator>
  <cp:lastModifiedBy>茶叶蛋超人</cp:lastModifiedBy>
  <dcterms:modified xsi:type="dcterms:W3CDTF">2022-09-27T05:16:27Z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BC57F8C9038D4985AFF456B5805E590E</vt:lpwstr>
  </property>
</Properties>
</file>