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  <w:t>2023年“领航杯”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  <w:t>江苏省中小学生信息素养提升实践活动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56"/>
          <w:szCs w:val="96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56"/>
          <w:lang w:val="en-US" w:eastAsia="zh-CN"/>
        </w:rPr>
        <w:t>人工智能——智慧社区</w:t>
      </w:r>
    </w:p>
    <w:p>
      <w:pPr>
        <w:jc w:val="center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规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  <w:t>则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  <w:t>江苏省电化教育馆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3" w:type="default"/>
          <w:pgSz w:w="11910" w:h="16840"/>
          <w:pgMar w:top="2268" w:right="1134" w:bottom="2268" w:left="1134" w:header="0" w:footer="98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黑体" w:hAnsi="黑体" w:eastAsia="黑体" w:cs="黑体"/>
          <w:color w:val="auto"/>
          <w:sz w:val="44"/>
          <w:szCs w:val="52"/>
          <w:lang w:val="en-US" w:eastAsia="zh-CN"/>
        </w:rPr>
        <w:t>2023年1月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0" w:line="230" w:lineRule="auto"/>
        <w:jc w:val="center"/>
        <w:textAlignment w:val="baseline"/>
        <w:outlineLvl w:val="0"/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人工智能—智慧社区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0" w:line="230" w:lineRule="auto"/>
        <w:ind w:left="1094"/>
        <w:jc w:val="center"/>
        <w:textAlignment w:val="baseline"/>
        <w:outlineLvl w:val="0"/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1 机器人界定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机器人运动按照轮式进行，其他外观形态无特殊要求，如图1所示。</w:t>
      </w:r>
    </w:p>
    <w:p>
      <w:pPr>
        <w:spacing w:line="300" w:lineRule="auto"/>
        <w:jc w:val="center"/>
        <w:rPr>
          <w:rFonts w:hint="eastAsia" w:ascii="仿宋" w:hAnsi="仿宋" w:eastAsia="仿宋" w:cs="仿宋"/>
          <w:snapToGrid w:val="0"/>
          <w:color w:val="auto"/>
          <w:spacing w:val="16"/>
          <w:kern w:val="0"/>
          <w:sz w:val="23"/>
          <w:szCs w:val="23"/>
        </w:rPr>
      </w:pPr>
      <w:r>
        <w:rPr>
          <w:rFonts w:ascii="仿宋" w:hAnsi="仿宋" w:eastAsia="仿宋" w:cs="仿宋"/>
          <w:snapToGrid w:val="0"/>
          <w:color w:val="auto"/>
          <w:spacing w:val="16"/>
          <w:kern w:val="0"/>
          <w:sz w:val="23"/>
          <w:szCs w:val="23"/>
        </w:rPr>
        <w:drawing>
          <wp:inline distT="0" distB="0" distL="0" distR="0">
            <wp:extent cx="194310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napToGrid w:val="0"/>
          <w:color w:val="auto"/>
          <w:spacing w:val="16"/>
          <w:kern w:val="0"/>
          <w:sz w:val="23"/>
          <w:szCs w:val="23"/>
        </w:rPr>
        <w:t xml:space="preserve">    </w:t>
      </w:r>
      <w:r>
        <w:rPr>
          <w:rFonts w:hint="eastAsia" w:ascii="仿宋" w:hAnsi="仿宋" w:eastAsia="仿宋" w:cs="仿宋"/>
          <w:snapToGrid w:val="0"/>
          <w:color w:val="auto"/>
          <w:spacing w:val="16"/>
          <w:kern w:val="0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spacing w:val="16"/>
          <w:kern w:val="0"/>
          <w:sz w:val="23"/>
          <w:szCs w:val="23"/>
        </w:rPr>
        <w:drawing>
          <wp:inline distT="0" distB="0" distL="0" distR="0">
            <wp:extent cx="1950720" cy="19507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图1 轮式机器人示意图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2 主题简介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竞赛模拟实现小区内外的智能化物资配送。通过机械搭建和代码编写，制作两个智能机器人协作完成相应任务。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3 场地与环境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3.1 场地构成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比赛场地为长方形，长宽尺寸是2355mm*1135mm，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zh-CN" w:eastAsia="zh-CN"/>
        </w:rPr>
        <w:t>黑线宽度为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zh-CN" w:eastAsia="zh-CN"/>
        </w:rPr>
        <w:t>cm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。场地材质是喷绘布，如图1所示。</w:t>
      </w:r>
    </w:p>
    <w:p>
      <w:pPr>
        <w:spacing w:before="177" w:line="381" w:lineRule="auto"/>
        <w:ind w:right="45"/>
        <w:jc w:val="center"/>
        <w:rPr>
          <w:rFonts w:ascii="仿宋" w:hAnsi="仿宋" w:eastAsia="仿宋" w:cs="仿宋"/>
          <w:color w:val="auto"/>
          <w:spacing w:val="8"/>
          <w:sz w:val="23"/>
          <w:szCs w:val="23"/>
        </w:rPr>
      </w:pPr>
      <w:r>
        <w:rPr>
          <w:rFonts w:hint="eastAsia" w:ascii="仿宋" w:hAnsi="仿宋" w:cs="仿宋"/>
          <w:color w:val="auto"/>
          <w:sz w:val="30"/>
          <w:szCs w:val="30"/>
        </w:rPr>
        <w:drawing>
          <wp:inline distT="0" distB="0" distL="0" distR="0">
            <wp:extent cx="5006975" cy="2411730"/>
            <wp:effectExtent l="0" t="0" r="6985" b="1143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图2 竞赛场地示意图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3.2 赛场环境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机器人比赛场地环境为冷光源、低照度、无磁场干扰。但由于赛场环境的不确定因素较多，例如，场地表面有褶皱不平整，光照条件有变化等等。参赛队在设计机器人时应考虑各种应对措施。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3.3 任务道具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物资存储装置：积木拼装道具。小学组、初中组1个；高中组2个。调试阶段前抽签决定其摆放位置。</w:t>
      </w:r>
    </w:p>
    <w:p>
      <w:pPr>
        <w:spacing w:before="177" w:line="381" w:lineRule="auto"/>
        <w:ind w:left="44" w:right="45" w:firstLine="506"/>
        <w:jc w:val="center"/>
        <w:rPr>
          <w:rFonts w:ascii="仿宋" w:hAnsi="仿宋" w:eastAsia="仿宋" w:cs="仿宋"/>
          <w:color w:val="auto"/>
          <w:spacing w:val="4"/>
          <w:sz w:val="23"/>
          <w:szCs w:val="23"/>
        </w:rPr>
      </w:pPr>
      <w:r>
        <w:rPr>
          <w:rFonts w:ascii="仿宋" w:hAnsi="仿宋" w:eastAsia="仿宋" w:cs="仿宋"/>
          <w:color w:val="auto"/>
          <w:spacing w:val="4"/>
          <w:sz w:val="23"/>
          <w:szCs w:val="23"/>
        </w:rPr>
        <w:drawing>
          <wp:inline distT="0" distB="0" distL="0" distR="0">
            <wp:extent cx="2156460" cy="21564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图3 物资存储装置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仿真模型：小学组的仿真模型共3种，为苹果、香蕉和梨子；初、高中组的仿真模型共6种，为苹果、香蕉、梨子、杨桃、桃子和南瓜。调试阶段前，抽签决定其分别对应的目标投递点；调试阶段结束后，抽签决定单轮待获取的目标物资。</w:t>
      </w:r>
    </w:p>
    <w:p>
      <w:pPr>
        <w:spacing w:before="177" w:line="381" w:lineRule="auto"/>
        <w:ind w:left="44" w:right="45" w:firstLine="506"/>
        <w:jc w:val="center"/>
        <w:rPr>
          <w:rFonts w:ascii="仿宋" w:hAnsi="仿宋" w:eastAsia="仿宋" w:cs="仿宋"/>
          <w:color w:val="auto"/>
          <w:spacing w:val="4"/>
          <w:sz w:val="23"/>
          <w:szCs w:val="23"/>
        </w:rPr>
      </w:pPr>
      <w:r>
        <w:rPr>
          <w:rFonts w:hint="eastAsia" w:ascii="仿宋" w:hAnsi="仿宋" w:eastAsia="仿宋" w:cs="仿宋"/>
          <w:color w:val="auto"/>
          <w:spacing w:val="4"/>
          <w:sz w:val="23"/>
          <w:szCs w:val="23"/>
        </w:rPr>
        <w:drawing>
          <wp:inline distT="0" distB="0" distL="0" distR="0">
            <wp:extent cx="2293620" cy="22936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图4 仿真模型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清洗消毒装置：积木拼装道具。</w:t>
      </w:r>
    </w:p>
    <w:p>
      <w:pPr>
        <w:spacing w:before="177" w:line="381" w:lineRule="auto"/>
        <w:ind w:left="44" w:right="45" w:firstLine="506"/>
        <w:jc w:val="center"/>
        <w:rPr>
          <w:rFonts w:ascii="仿宋" w:hAnsi="仿宋" w:eastAsia="仿宋" w:cs="仿宋"/>
          <w:color w:val="auto"/>
          <w:spacing w:val="4"/>
          <w:sz w:val="23"/>
          <w:szCs w:val="23"/>
        </w:rPr>
      </w:pPr>
      <w:r>
        <w:rPr>
          <w:rFonts w:ascii="仿宋" w:hAnsi="仿宋" w:cs="仿宋"/>
          <w:color w:val="auto"/>
          <w:sz w:val="30"/>
          <w:szCs w:val="30"/>
        </w:rPr>
        <w:drawing>
          <wp:inline distT="0" distB="0" distL="0" distR="0">
            <wp:extent cx="2333625" cy="1764030"/>
            <wp:effectExtent l="0" t="0" r="13335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图5 清洗消毒装置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4 任务描述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任务仅为场景模拟，切勿将其与真实工作相比。地图及场地模型均由比赛现场官方提供。各组别部分任务完成要求不同。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4.1 取货机器人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4.1.1  启动奖励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取货机器人启动前，应保证其垂直投影全部在起始区内。比赛开始，当其垂直投影完全离开起始区外径时，得5分。</w:t>
      </w:r>
    </w:p>
    <w:p>
      <w:pPr>
        <w:spacing w:line="360" w:lineRule="auto"/>
        <w:jc w:val="center"/>
        <w:rPr>
          <w:rFonts w:ascii="仿宋" w:hAnsi="仿宋" w:cs="仿宋"/>
          <w:color w:val="auto"/>
          <w:sz w:val="30"/>
          <w:szCs w:val="30"/>
        </w:rPr>
      </w:pPr>
      <w:r>
        <w:rPr>
          <w:color w:val="auto"/>
        </w:rPr>
        <w:drawing>
          <wp:inline distT="0" distB="0" distL="0" distR="0">
            <wp:extent cx="1183005" cy="1224280"/>
            <wp:effectExtent l="0" t="0" r="571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rcRect l="3345" r="1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224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3614" w:firstLineChars="15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图6 起始区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4.1.2  物资获取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场地上有三处物资区A、B、C，如图6所示。调试阶段前将抽签决定物资存储装置的放置区，各参赛队伍相同。</w:t>
      </w:r>
    </w:p>
    <w:p>
      <w:pPr>
        <w:spacing w:line="360" w:lineRule="auto"/>
        <w:ind w:firstLine="420" w:firstLineChars="200"/>
        <w:jc w:val="center"/>
        <w:rPr>
          <w:rFonts w:ascii="仿宋" w:hAnsi="仿宋" w:cs="仿宋"/>
          <w:color w:val="auto"/>
          <w:sz w:val="30"/>
          <w:szCs w:val="30"/>
        </w:rPr>
      </w:pPr>
      <w:r>
        <w:rPr>
          <w:color w:val="auto"/>
        </w:rPr>
        <w:drawing>
          <wp:inline distT="0" distB="0" distL="0" distR="0">
            <wp:extent cx="2430145" cy="1408430"/>
            <wp:effectExtent l="0" t="0" r="825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8899" cy="141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图7  物资区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存储装置置于目标放置区，装置平台初始保持水平，物资（紧贴于平台后方挡杆处，如图7所示。小学组的仿真模型共3种，初、高中组的仿真模型共6种。目标模型于调试阶段结束后裁判抽签决定。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小学组：3选1，待抽取模型分别为苹果、香蕉和梨子。比赛结束时，物资脱离存储装置，得10分；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初中组：6选1，待抽取模型分别为苹果、香蕉、梨子、杨桃、桃子和南瓜。比赛结束时，物资脱离存储装置，得10分；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高中组：6选2，待抽取模型分别为苹果、香蕉、梨子、杨桃、桃子和南瓜，且两种物资必须对应同一目标投递点，初始分别放置于两个物资存储装置上。比赛结束时，物资脱离存储装置，得5分/件。</w:t>
      </w:r>
    </w:p>
    <w:p>
      <w:pPr>
        <w:spacing w:line="360" w:lineRule="auto"/>
        <w:jc w:val="center"/>
        <w:rPr>
          <w:rFonts w:ascii="仿宋" w:hAnsi="仿宋" w:cs="仿宋"/>
          <w:color w:val="auto"/>
          <w:sz w:val="30"/>
          <w:szCs w:val="30"/>
        </w:rPr>
      </w:pPr>
      <w:r>
        <w:rPr>
          <w:rFonts w:hint="eastAsia" w:ascii="仿宋" w:hAnsi="仿宋" w:cs="仿宋"/>
          <w:color w:val="auto"/>
          <w:sz w:val="30"/>
          <w:szCs w:val="30"/>
        </w:rPr>
        <w:drawing>
          <wp:inline distT="0" distB="0" distL="0" distR="0">
            <wp:extent cx="2180590" cy="22529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088" cy="22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图8 物资存储模型初始状态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4.1.3  到达中转区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取货机器人投影部分落入中转区（参照灰色虚线外径）时，得15分。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center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drawing>
          <wp:inline distT="0" distB="0" distL="0" distR="0">
            <wp:extent cx="1758950" cy="129476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0190" cy="13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图9 中转区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4.2 配送机器人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4.2.1 物资中转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比赛开始时，应保证其垂直投影全部在中转区内。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小学组：机器人携带物资完全离开中转区外径时，得10分；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初中组：机器人携带物资完全离开中转区外径时，得10分；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高中组：机器人携带物资完全离开中转区外径时，得5分/件。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4.2.2  物资识别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比赛结束时，配送机器人屏幕静态显示本轮比赛所用的物资名称，且不包含其它物资名称时，得15分（以小学组为例，如本轮目标物资为“苹果”，则屏幕显示“苹果”、“这是苹果”均可得分；显示“苹果梨子”、“苹小果”，均不得分）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4.2.3  到达投递点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住宅区A、B、C中的一处为目标投递点，调试阶段前将抽签决定不同种类物资对应的投递点（以小学组为例，如苹果-住宅区B；香蕉-住宅区A；梨子-住宅区C），初中高中组每2种物资对应1处投递点。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配送机器人投影部分落入目标投递点时，得10分。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center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drawing>
          <wp:inline distT="0" distB="0" distL="0" distR="0">
            <wp:extent cx="919480" cy="1672590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3113" cy="17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图10 住宅区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4.2.4  物资投递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小学组：比赛结束时，物资投影部分进入目标投递点，得15分；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初中组：比赛结束时，物资投影全部进入目标投递点，得15分；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高中组：比赛结束时，所有物资投影全部进入目标投递点，得15分；单个物资投影全部进入目标投递点，得5分。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4.2.5  清洗消毒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如图10所示，场地上有一处消毒区，左右实线框中放有清洗消毒装置。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配送机器人沿指示方向完整通过虚线框区域，得10分。</w:t>
      </w:r>
    </w:p>
    <w:p>
      <w:pPr>
        <w:spacing w:line="360" w:lineRule="auto"/>
        <w:ind w:firstLine="420" w:firstLineChars="200"/>
        <w:jc w:val="center"/>
        <w:rPr>
          <w:rFonts w:ascii="仿宋" w:hAnsi="仿宋" w:cs="仿宋"/>
          <w:color w:val="auto"/>
          <w:sz w:val="30"/>
          <w:szCs w:val="30"/>
        </w:rPr>
      </w:pPr>
      <w:r>
        <w:rPr>
          <w:color w:val="auto"/>
        </w:rPr>
        <w:drawing>
          <wp:inline distT="0" distB="0" distL="0" distR="0">
            <wp:extent cx="1833880" cy="1539875"/>
            <wp:effectExtent l="0" t="0" r="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5600" cy="154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cs="仿宋"/>
          <w:color w:val="auto"/>
          <w:sz w:val="30"/>
          <w:szCs w:val="30"/>
        </w:rPr>
        <w:t xml:space="preserve"> </w:t>
      </w:r>
      <w:r>
        <w:rPr>
          <w:rFonts w:ascii="仿宋" w:hAnsi="仿宋" w:cs="仿宋"/>
          <w:color w:val="auto"/>
          <w:sz w:val="30"/>
          <w:szCs w:val="30"/>
        </w:rPr>
        <w:t xml:space="preserve">     </w:t>
      </w:r>
      <w:r>
        <w:rPr>
          <w:rFonts w:ascii="仿宋" w:hAnsi="仿宋" w:cs="仿宋"/>
          <w:color w:val="auto"/>
          <w:sz w:val="30"/>
          <w:szCs w:val="30"/>
        </w:rPr>
        <w:drawing>
          <wp:inline distT="0" distB="0" distL="0" distR="0">
            <wp:extent cx="2187575" cy="1653540"/>
            <wp:effectExtent l="0" t="0" r="317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635" cy="165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图11 消毒区                 图12 清洗消毒装置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4.2.6  返回中转区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配送机器人完全离开中转区后，投影再次部分落入中转区（参照灰色虚线外径）时，得10分。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5 机器人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5.1 机器人硬件要求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5.1.1 机器人在初始位置时，长、宽和高均不得超过280mm，离开初始位置后尺寸不作限制。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5.1.2 单个机器人只能使用一个可编程处理器。其中，取货机器人不能使用灰度、颜色或光敏传感器进行巡线和标签识别，只能使用视觉传感器（摄像头）进行识别；配送机器人控制器部分需内置显示屏。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5.1.3 机器人必须使用锂电池供电，其电压不超过9V。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5.1.4 在不影响比赛的基础上，机器人可进行个性化的装饰，以增强其表现力和辨识度。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5.2 机器人软件要求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机器人编程环境不限，所有动作程序均需参赛队员自行编写。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6 比赛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6.1 参赛队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每支参赛队由2名学生和1名教练员组成。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6.2 比赛赛制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比赛连续两轮，每轮用时不得超过3分钟（机器人投影完全离开起始区时视为单轮比赛开始）。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6.3 调试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6.3.1 现场设有90分钟调试时间。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6.3.2 裁判检录无误，方可携带机器人及相关调试设备进入准备区。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6.3.3 搭建和编程只能在准备区完成，测试程序可以去参赛区。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6.3.4 调试结束，参赛学生应遵循裁判指示，将机器人放置在指定封存区。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lang w:val="en-US" w:eastAsia="zh-CN"/>
        </w:rPr>
        <w:t>6.4 比赛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6.4.1 参赛学生按照裁判指示依次进行随机项抽签。机器人运动前，应放置在对应起点区域内，确保机器人（含附属机构）垂直投影全部落入对应起点区域。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6.4.2 启动前有不超过1分钟的准备时间，准备时间选手可以开启机器人电源，但不允许开动机器人任何电机。准备就绪，应向裁判举手示意。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6.4.3 当裁判发出开始指令后，计时开始，参赛学生启动机器人</w:t>
      </w:r>
      <w:r>
        <w:rPr>
          <w:rFonts w:hint="eastAsia" w:ascii="仿宋" w:hAnsi="仿宋" w:eastAsia="仿宋" w:cs="仿宋"/>
          <w:snapToGrid w:val="0"/>
          <w:color w:val="auto"/>
          <w:spacing w:val="0"/>
          <w:w w:val="77"/>
          <w:kern w:val="0"/>
          <w:sz w:val="24"/>
          <w:szCs w:val="24"/>
          <w:fitText w:val="1295" w:id="389033186"/>
          <w:lang w:val="en-US" w:eastAsia="zh-CN"/>
        </w:rPr>
        <w:t>（触发运动）</w:t>
      </w:r>
      <w:r>
        <w:rPr>
          <w:rFonts w:hint="eastAsia" w:ascii="仿宋" w:hAnsi="仿宋" w:eastAsia="仿宋" w:cs="仿宋"/>
          <w:snapToGrid w:val="0"/>
          <w:color w:val="auto"/>
          <w:spacing w:val="3"/>
          <w:w w:val="77"/>
          <w:kern w:val="0"/>
          <w:sz w:val="24"/>
          <w:szCs w:val="24"/>
          <w:fitText w:val="1295" w:id="389033186"/>
          <w:lang w:val="en-US" w:eastAsia="zh-CN"/>
        </w:rPr>
        <w:t>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6.4.4 比赛计时一旦开始，机器人必须通过程序自主运行。参赛学生如有接触干涉，将视为本轮比赛结束。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6.4.5 机器人在启动或运行过程中，任一部件掉落在场地不予以清除。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6.4.6 场地模型在比赛计时过程中发生的状态改变，将不予以重置。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6.4.7 参赛队伍可以在计时开始后的任一时间，向裁判示意比赛结束，裁判停表计分。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7 犯规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7.1 裁判示意参赛队伍进入参赛区准备比赛时，应即时到达，超过2分钟者，将取消比赛资格。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7.2 任务模型或场地遭到参赛队员及其机器人破坏，将受到警告，并且该单项任务得分无效；情节恶劣者，将取消比赛资格。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7.3 参赛学生未经裁判许可，不得在调试期间与家长或教练员联系，违者将予以警告或取消比赛资格。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7.4 不听从裁判指示将予以警告。干扰到比赛正常流程或者影响到其他参赛队伍时，情节恶劣者，将取消比赛资格。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8 获胜名次排列规则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取两轮得分中较高得分为最终得分,如出现同分，高分轮次时间较短者，排名在前。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人工智能-智慧社区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竞赛记分表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</w:p>
    <w:p>
      <w:pPr>
        <w:spacing w:before="75" w:line="228" w:lineRule="auto"/>
        <w:ind w:firstLine="1150" w:firstLineChars="500"/>
        <w:jc w:val="both"/>
        <w:rPr>
          <w:rFonts w:hint="eastAsia" w:ascii="仿宋" w:hAnsi="仿宋" w:eastAsia="仿宋" w:cs="仿宋"/>
          <w:color w:val="auto"/>
          <w:spacing w:val="10"/>
          <w:sz w:val="23"/>
          <w:szCs w:val="23"/>
        </w:rPr>
      </w:pPr>
      <w:r>
        <w:rPr>
          <w:rFonts w:hint="eastAsia" w:ascii="仿宋" w:hAnsi="仿宋" w:eastAsia="仿宋" w:cs="仿宋"/>
          <w:color w:val="auto"/>
          <w:sz w:val="23"/>
          <w:szCs w:val="23"/>
          <w:lang w:val="en-US" w:eastAsia="zh-CN"/>
        </w:rPr>
        <w:t>组别：</w:t>
      </w:r>
      <w:r>
        <w:rPr>
          <w:rFonts w:hint="eastAsia" w:ascii="仿宋" w:hAnsi="仿宋" w:eastAsia="仿宋" w:cs="仿宋"/>
          <w:color w:val="auto"/>
          <w:sz w:val="23"/>
          <w:szCs w:val="23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3"/>
          <w:szCs w:val="23"/>
        </w:rPr>
        <w:t>参赛学校</w:t>
      </w:r>
      <w:r>
        <w:rPr>
          <w:rFonts w:hint="eastAsia" w:ascii="仿宋" w:hAnsi="仿宋" w:eastAsia="仿宋" w:cs="仿宋"/>
          <w:color w:val="auto"/>
          <w:sz w:val="23"/>
          <w:szCs w:val="23"/>
          <w:u w:val="none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color w:val="auto"/>
          <w:sz w:val="23"/>
          <w:szCs w:val="23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3"/>
          <w:szCs w:val="23"/>
        </w:rPr>
        <w:t>队伍编号</w:t>
      </w:r>
      <w:r>
        <w:rPr>
          <w:rFonts w:hint="eastAsia" w:ascii="仿宋" w:hAnsi="仿宋" w:eastAsia="仿宋" w:cs="仿宋"/>
          <w:color w:val="auto"/>
          <w:sz w:val="23"/>
          <w:szCs w:val="23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3"/>
          <w:szCs w:val="23"/>
          <w:u w:val="single"/>
          <w:lang w:val="en-US" w:eastAsia="zh-CN"/>
        </w:rPr>
        <w:t xml:space="preserve">           </w:t>
      </w:r>
    </w:p>
    <w:p>
      <w:pPr>
        <w:widowControl/>
        <w:kinsoku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3"/>
        <w:gridCol w:w="2268"/>
        <w:gridCol w:w="42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8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  <w:t>评分项目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8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  <w:t>计分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8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  <w:t>第一轮得分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8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8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1"/>
                <w:kern w:val="0"/>
                <w:sz w:val="23"/>
                <w:szCs w:val="23"/>
              </w:rPr>
              <w:t>第二轮得分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启动奖励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物资获取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到达中转区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物资中转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物资识别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到达投递点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物资投递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清洗消毒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返回中转区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单轮得分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单轮用时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359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32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 xml:space="preserve">        </w:t>
            </w:r>
            <w:bookmarkStart w:id="1" w:name="_Hlk10652449"/>
            <w:r>
              <w:rPr>
                <w:rFonts w:hint="eastAsia" w:ascii="仿宋" w:hAnsi="仿宋" w:eastAsia="仿宋" w:cs="仿宋"/>
                <w:snapToGrid w:val="0"/>
                <w:color w:val="auto"/>
                <w:spacing w:val="8"/>
                <w:kern w:val="0"/>
                <w:sz w:val="23"/>
                <w:szCs w:val="23"/>
              </w:rPr>
              <w:t>最终得分（用时）：</w:t>
            </w:r>
            <w:bookmarkEnd w:id="1"/>
          </w:p>
        </w:tc>
      </w:tr>
    </w:tbl>
    <w:p>
      <w:pPr>
        <w:spacing w:before="164" w:line="232" w:lineRule="auto"/>
        <w:outlineLvl w:val="1"/>
        <w:rPr>
          <w:rFonts w:ascii="仿宋" w:hAnsi="仿宋" w:eastAsia="仿宋" w:cs="仿宋"/>
          <w:color w:val="auto"/>
          <w:sz w:val="23"/>
          <w:szCs w:val="23"/>
        </w:rPr>
      </w:pPr>
    </w:p>
    <w:p>
      <w:pPr>
        <w:rPr>
          <w:rFonts w:hint="eastAsia" w:ascii="仿宋" w:hAnsi="仿宋" w:eastAsia="仿宋" w:cs="仿宋"/>
          <w:color w:val="auto"/>
          <w:sz w:val="23"/>
          <w:szCs w:val="23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3"/>
          <w:szCs w:val="23"/>
        </w:rPr>
        <w:t>参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</w:rPr>
        <w:t>赛队员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  <w:lang w:val="en-US" w:eastAsia="zh-CN"/>
        </w:rPr>
        <w:t>签字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</w:rPr>
        <w:t>：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  <w:u w:val="single"/>
          <w:lang w:val="en-US" w:eastAsia="zh-CN"/>
        </w:rPr>
        <w:t xml:space="preserve">                                                          </w:t>
      </w:r>
    </w:p>
    <w:p>
      <w:pPr>
        <w:spacing w:before="75" w:line="231" w:lineRule="auto"/>
        <w:rPr>
          <w:rFonts w:hint="eastAsia" w:ascii="仿宋" w:hAnsi="仿宋" w:eastAsia="仿宋" w:cs="仿宋"/>
          <w:color w:val="auto"/>
          <w:spacing w:val="10"/>
          <w:sz w:val="23"/>
          <w:szCs w:val="23"/>
        </w:rPr>
      </w:pPr>
    </w:p>
    <w:p>
      <w:pPr>
        <w:spacing w:before="75" w:line="231" w:lineRule="auto"/>
        <w:rPr>
          <w:rFonts w:hint="eastAsia" w:ascii="仿宋" w:hAnsi="仿宋" w:eastAsia="仿宋" w:cs="仿宋"/>
          <w:color w:val="auto"/>
          <w:sz w:val="23"/>
          <w:szCs w:val="23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5"/>
          <w:sz w:val="23"/>
          <w:szCs w:val="23"/>
        </w:rPr>
        <w:t>裁判员签字：</w:t>
      </w:r>
      <w:r>
        <w:rPr>
          <w:rFonts w:hint="eastAsia" w:ascii="仿宋" w:hAnsi="仿宋" w:eastAsia="仿宋" w:cs="仿宋"/>
          <w:color w:val="auto"/>
          <w:spacing w:val="5"/>
          <w:sz w:val="23"/>
          <w:szCs w:val="23"/>
          <w:u w:val="single"/>
          <w:lang w:val="en-US" w:eastAsia="zh-CN"/>
        </w:rPr>
        <w:t xml:space="preserve">                                                        </w:t>
      </w:r>
    </w:p>
    <w:p>
      <w:pPr>
        <w:spacing w:before="75" w:line="230" w:lineRule="auto"/>
        <w:rPr>
          <w:rFonts w:hint="eastAsia" w:ascii="仿宋" w:hAnsi="仿宋" w:eastAsia="仿宋" w:cs="仿宋"/>
          <w:color w:val="auto"/>
          <w:spacing w:val="7"/>
          <w:sz w:val="23"/>
          <w:szCs w:val="23"/>
        </w:rPr>
      </w:pPr>
    </w:p>
    <w:p>
      <w:pPr>
        <w:spacing w:before="75" w:line="230" w:lineRule="auto"/>
        <w:rPr>
          <w:color w:val="auto"/>
        </w:rPr>
      </w:pPr>
      <w:r>
        <w:rPr>
          <w:rFonts w:hint="eastAsia" w:ascii="仿宋" w:hAnsi="仿宋" w:eastAsia="仿宋" w:cs="仿宋"/>
          <w:color w:val="auto"/>
          <w:spacing w:val="7"/>
          <w:sz w:val="23"/>
          <w:szCs w:val="23"/>
        </w:rPr>
        <w:t>取消参赛资格原因：</w:t>
      </w:r>
      <w:r>
        <w:rPr>
          <w:rFonts w:hint="eastAsia" w:ascii="仿宋" w:hAnsi="仿宋" w:eastAsia="仿宋" w:cs="仿宋"/>
          <w:color w:val="auto"/>
          <w:spacing w:val="7"/>
          <w:sz w:val="23"/>
          <w:szCs w:val="23"/>
          <w:u w:val="single"/>
          <w:lang w:val="en-US" w:eastAsia="zh-CN"/>
        </w:rPr>
        <w:t xml:space="preserve">                                                 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80"/>
      <w:rPr>
        <w:rFonts w:ascii="宋体" w:hAnsi="宋体" w:eastAsia="宋体" w:cs="宋体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34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NmUxZjYyYTlkMjc3ZjhlMjAxNTRmOTg3MmY2YzUifQ=="/>
  </w:docVars>
  <w:rsids>
    <w:rsidRoot w:val="00CE21AB"/>
    <w:rsid w:val="00033834"/>
    <w:rsid w:val="00116D89"/>
    <w:rsid w:val="00146B20"/>
    <w:rsid w:val="0020491E"/>
    <w:rsid w:val="00236E05"/>
    <w:rsid w:val="00251B65"/>
    <w:rsid w:val="00314D39"/>
    <w:rsid w:val="00335B22"/>
    <w:rsid w:val="00415CE4"/>
    <w:rsid w:val="004E77FC"/>
    <w:rsid w:val="0066687D"/>
    <w:rsid w:val="007424DA"/>
    <w:rsid w:val="008D44BD"/>
    <w:rsid w:val="00920473"/>
    <w:rsid w:val="009C71DE"/>
    <w:rsid w:val="009D45DA"/>
    <w:rsid w:val="009E78E4"/>
    <w:rsid w:val="00A67CCC"/>
    <w:rsid w:val="00AC2328"/>
    <w:rsid w:val="00BA66B5"/>
    <w:rsid w:val="00BA6D5E"/>
    <w:rsid w:val="00C01EDB"/>
    <w:rsid w:val="00CE21AB"/>
    <w:rsid w:val="00D86E61"/>
    <w:rsid w:val="00DB7FBE"/>
    <w:rsid w:val="00DC495A"/>
    <w:rsid w:val="00EF2593"/>
    <w:rsid w:val="00F060C0"/>
    <w:rsid w:val="00FB54CA"/>
    <w:rsid w:val="00FC51DA"/>
    <w:rsid w:val="00FF7910"/>
    <w:rsid w:val="01A077EA"/>
    <w:rsid w:val="0C432A82"/>
    <w:rsid w:val="11F97EDE"/>
    <w:rsid w:val="199E20B0"/>
    <w:rsid w:val="1A225ABF"/>
    <w:rsid w:val="1DFE55A8"/>
    <w:rsid w:val="25785D76"/>
    <w:rsid w:val="26263B7D"/>
    <w:rsid w:val="29CE1F49"/>
    <w:rsid w:val="2E637003"/>
    <w:rsid w:val="32322C20"/>
    <w:rsid w:val="33042139"/>
    <w:rsid w:val="387F2A3F"/>
    <w:rsid w:val="3D4D2D2E"/>
    <w:rsid w:val="43F44D9E"/>
    <w:rsid w:val="45C71ADD"/>
    <w:rsid w:val="49961FF5"/>
    <w:rsid w:val="5B463A06"/>
    <w:rsid w:val="5CB764A3"/>
    <w:rsid w:val="6515328B"/>
    <w:rsid w:val="68BD0DC9"/>
    <w:rsid w:val="71E40A64"/>
    <w:rsid w:val="75D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autoSpaceDE w:val="0"/>
      <w:autoSpaceDN w:val="0"/>
      <w:snapToGrid w:val="0"/>
      <w:spacing w:before="240" w:after="60" w:line="590" w:lineRule="atLeast"/>
      <w:ind w:firstLine="624"/>
      <w:jc w:val="center"/>
      <w:outlineLvl w:val="0"/>
    </w:pPr>
    <w:rPr>
      <w:rFonts w:ascii="黑体" w:hAnsi="黑体" w:eastAsia="黑体" w:cs="黑体"/>
      <w:b/>
      <w:bCs/>
      <w:snapToGrid w:val="0"/>
      <w:kern w:val="0"/>
      <w:sz w:val="36"/>
      <w:szCs w:val="36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0"/>
    <w:rPr>
      <w:rFonts w:ascii="黑体" w:hAnsi="黑体" w:eastAsia="黑体" w:cs="黑体"/>
      <w:b/>
      <w:bCs/>
      <w:snapToGrid w:val="0"/>
      <w:kern w:val="0"/>
      <w:sz w:val="36"/>
      <w:szCs w:val="36"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2664</Words>
  <Characters>2840</Characters>
  <Lines>24</Lines>
  <Paragraphs>6</Paragraphs>
  <TotalTime>1</TotalTime>
  <ScaleCrop>false</ScaleCrop>
  <LinksUpToDate>false</LinksUpToDate>
  <CharactersWithSpaces>3142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2023-01-10T03:23:00Z</dcterms:created>
  <dc:creator>435424527@qq.com</dc:creator>
  <cp:lastModifiedBy>Jack刘</cp:lastModifiedBy>
  <dcterms:modified xsi:type="dcterms:W3CDTF">2023-01-16T15:44:44Z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57FF83B037D44BDB915572359CEB2ECF</vt:lpwstr>
  </property>
</Properties>
</file>