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56"/>
          <w:szCs w:val="96"/>
          <w:lang w:val="en-US" w:eastAsia="zh-CN" w:bidi="ar-SA"/>
        </w:rPr>
      </w:pPr>
      <w:bookmarkStart w:id="0" w:name="_bookmark1"/>
      <w:bookmarkEnd w:id="0"/>
      <w:r>
        <w:rPr>
          <w:rFonts w:hint="eastAsia" w:ascii="黑体" w:hAnsi="黑体" w:eastAsia="黑体" w:cs="黑体"/>
          <w:snapToGrid/>
          <w:color w:val="auto"/>
          <w:kern w:val="2"/>
          <w:sz w:val="56"/>
          <w:szCs w:val="96"/>
          <w:lang w:val="en-US" w:eastAsia="zh-CN" w:bidi="ar-SA"/>
        </w:rPr>
        <w:t>2023年“领航杯”</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56"/>
          <w:szCs w:val="96"/>
          <w:lang w:val="en-US" w:eastAsia="zh-CN" w:bidi="ar-SA"/>
        </w:rPr>
      </w:pPr>
      <w:r>
        <w:rPr>
          <w:rFonts w:hint="eastAsia" w:ascii="黑体" w:hAnsi="黑体" w:eastAsia="黑体" w:cs="黑体"/>
          <w:snapToGrid/>
          <w:color w:val="auto"/>
          <w:kern w:val="2"/>
          <w:sz w:val="56"/>
          <w:szCs w:val="96"/>
          <w:lang w:val="en-US" w:eastAsia="zh-CN" w:bidi="ar-SA"/>
        </w:rPr>
        <w:t>江苏省中小学生信息素养提升实践活动</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56"/>
          <w:szCs w:val="96"/>
          <w:lang w:val="en-US" w:eastAsia="zh-CN" w:bidi="ar-SA"/>
        </w:rPr>
      </w:pPr>
    </w:p>
    <w:p>
      <w:pPr>
        <w:widowControl w:val="0"/>
        <w:kinsoku/>
        <w:autoSpaceDE/>
        <w:autoSpaceDN/>
        <w:adjustRightInd/>
        <w:snapToGrid/>
        <w:spacing w:line="360" w:lineRule="auto"/>
        <w:jc w:val="center"/>
        <w:textAlignment w:val="auto"/>
        <w:rPr>
          <w:rFonts w:hint="eastAsia" w:ascii="黑体" w:hAnsi="黑体" w:eastAsia="黑体" w:cs="黑体"/>
          <w:color w:val="auto"/>
          <w:sz w:val="48"/>
          <w:szCs w:val="56"/>
          <w:lang w:val="en-US" w:eastAsia="zh-CN"/>
        </w:rPr>
      </w:pPr>
      <w:r>
        <w:rPr>
          <w:rFonts w:hint="eastAsia" w:ascii="黑体" w:hAnsi="黑体" w:eastAsia="黑体" w:cs="黑体"/>
          <w:color w:val="auto"/>
          <w:sz w:val="48"/>
          <w:szCs w:val="56"/>
          <w:lang w:val="en-US" w:eastAsia="zh-CN"/>
        </w:rPr>
        <w:t>人工智能——智能驾驶挑战赛</w:t>
      </w:r>
    </w:p>
    <w:p>
      <w:pPr>
        <w:widowControl w:val="0"/>
        <w:kinsoku/>
        <w:autoSpaceDE/>
        <w:autoSpaceDN/>
        <w:adjustRightInd/>
        <w:snapToGrid/>
        <w:spacing w:line="360" w:lineRule="auto"/>
        <w:jc w:val="center"/>
        <w:textAlignment w:val="auto"/>
        <w:rPr>
          <w:rFonts w:hint="eastAsia" w:ascii="黑体" w:hAnsi="黑体" w:eastAsia="黑体" w:cs="黑体"/>
          <w:color w:val="auto"/>
          <w:sz w:val="48"/>
          <w:szCs w:val="56"/>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48"/>
          <w:szCs w:val="56"/>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72"/>
          <w:szCs w:val="144"/>
          <w:lang w:val="en-US" w:eastAsia="zh-CN"/>
        </w:rPr>
      </w:pPr>
      <w:r>
        <w:rPr>
          <w:rFonts w:hint="eastAsia" w:ascii="黑体" w:hAnsi="黑体" w:eastAsia="黑体" w:cs="黑体"/>
          <w:color w:val="auto"/>
          <w:sz w:val="72"/>
          <w:szCs w:val="144"/>
          <w:lang w:val="en-US" w:eastAsia="zh-CN"/>
        </w:rPr>
        <w:t>规</w:t>
      </w:r>
    </w:p>
    <w:p>
      <w:pPr>
        <w:widowControl w:val="0"/>
        <w:kinsoku/>
        <w:autoSpaceDE/>
        <w:autoSpaceDN/>
        <w:adjustRightInd/>
        <w:snapToGrid/>
        <w:spacing w:line="360" w:lineRule="auto"/>
        <w:jc w:val="center"/>
        <w:textAlignment w:val="auto"/>
        <w:rPr>
          <w:rFonts w:hint="eastAsia" w:ascii="黑体" w:hAnsi="黑体" w:eastAsia="黑体" w:cs="黑体"/>
          <w:color w:val="auto"/>
          <w:sz w:val="72"/>
          <w:szCs w:val="144"/>
          <w:lang w:val="en-US" w:eastAsia="zh-CN"/>
        </w:rPr>
      </w:pPr>
      <w:r>
        <w:rPr>
          <w:rFonts w:hint="eastAsia" w:ascii="黑体" w:hAnsi="黑体" w:eastAsia="黑体" w:cs="黑体"/>
          <w:color w:val="auto"/>
          <w:sz w:val="72"/>
          <w:szCs w:val="144"/>
          <w:lang w:val="en-US" w:eastAsia="zh-CN"/>
        </w:rPr>
        <w:t>则</w:t>
      </w:r>
    </w:p>
    <w:p>
      <w:pPr>
        <w:widowControl w:val="0"/>
        <w:kinsoku/>
        <w:autoSpaceDE/>
        <w:autoSpaceDN/>
        <w:adjustRightInd/>
        <w:snapToGrid/>
        <w:spacing w:line="360" w:lineRule="auto"/>
        <w:jc w:val="center"/>
        <w:textAlignment w:val="auto"/>
        <w:rPr>
          <w:rFonts w:hint="eastAsia" w:ascii="黑体" w:hAnsi="黑体" w:eastAsia="黑体" w:cs="黑体"/>
          <w:color w:val="auto"/>
          <w:sz w:val="72"/>
          <w:szCs w:val="144"/>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44"/>
          <w:szCs w:val="52"/>
          <w:lang w:val="en-US" w:eastAsia="zh-CN"/>
        </w:rPr>
      </w:pPr>
      <w:r>
        <w:rPr>
          <w:rFonts w:hint="eastAsia" w:ascii="黑体" w:hAnsi="黑体" w:eastAsia="黑体" w:cs="黑体"/>
          <w:color w:val="auto"/>
          <w:sz w:val="44"/>
          <w:szCs w:val="52"/>
          <w:lang w:val="en-US" w:eastAsia="zh-CN"/>
        </w:rPr>
        <w:t>江苏省电化教育馆</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44"/>
          <w:szCs w:val="52"/>
          <w:lang w:val="en-US" w:eastAsia="zh-CN" w:bidi="ar-SA"/>
        </w:rPr>
        <w:sectPr>
          <w:footerReference r:id="rId5" w:type="default"/>
          <w:pgSz w:w="11910" w:h="16840"/>
          <w:pgMar w:top="2268" w:right="1134" w:bottom="2268" w:left="1134" w:header="0" w:footer="981" w:gutter="0"/>
          <w:pgBorders>
            <w:top w:val="none" w:sz="0" w:space="0"/>
            <w:left w:val="none" w:sz="0" w:space="0"/>
            <w:bottom w:val="none" w:sz="0" w:space="0"/>
            <w:right w:val="none" w:sz="0" w:space="0"/>
          </w:pgBorders>
          <w:pgNumType w:fmt="numberInDash"/>
          <w:cols w:space="0" w:num="1"/>
          <w:rtlGutter w:val="0"/>
          <w:docGrid w:linePitch="0" w:charSpace="0"/>
        </w:sectPr>
      </w:pPr>
      <w:r>
        <w:rPr>
          <w:rFonts w:hint="eastAsia" w:ascii="黑体" w:hAnsi="黑体" w:eastAsia="黑体" w:cs="黑体"/>
          <w:snapToGrid/>
          <w:color w:val="auto"/>
          <w:kern w:val="2"/>
          <w:sz w:val="44"/>
          <w:szCs w:val="52"/>
          <w:lang w:val="en-US" w:eastAsia="zh-CN" w:bidi="ar-SA"/>
        </w:rPr>
        <w:t>2023年1月</w:t>
      </w:r>
    </w:p>
    <w:p>
      <w:pPr>
        <w:bidi w:val="0"/>
        <w:spacing w:line="360" w:lineRule="auto"/>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智能驾驶挑战赛</w:t>
      </w:r>
    </w:p>
    <w:p>
      <w:pPr>
        <w:bidi w:val="0"/>
        <w:spacing w:line="360" w:lineRule="auto"/>
        <w:rPr>
          <w:rFonts w:hint="eastAsia" w:ascii="仿宋" w:hAnsi="仿宋" w:eastAsia="仿宋" w:cs="仿宋"/>
          <w:b/>
          <w:bCs/>
          <w:color w:val="auto"/>
          <w:sz w:val="28"/>
          <w:szCs w:val="28"/>
          <w:lang w:val="en-US" w:eastAsia="zh-CN"/>
        </w:rPr>
      </w:pPr>
    </w:p>
    <w:p>
      <w:pPr>
        <w:bidi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 主题简介</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智能驾驶是通过人工智能辅助或代替人进行汽车驾驶行为，它可以弥补人类驾驶员存在的缺陷。</w:t>
      </w:r>
      <w:r>
        <w:rPr>
          <w:rFonts w:hint="eastAsia" w:ascii="仿宋" w:hAnsi="仿宋" w:eastAsia="仿宋" w:cs="宋体"/>
          <w:color w:val="auto"/>
          <w:sz w:val="24"/>
        </w:rPr>
        <w:t>本项目使学生通过对</w:t>
      </w:r>
      <w:r>
        <w:rPr>
          <w:rFonts w:hint="eastAsia" w:ascii="仿宋" w:hAnsi="仿宋" w:eastAsia="仿宋" w:cs="宋体"/>
          <w:color w:val="auto"/>
          <w:sz w:val="24"/>
          <w:lang w:val="en-US" w:eastAsia="zh-CN"/>
        </w:rPr>
        <w:t>程序的编写与调试</w:t>
      </w:r>
      <w:r>
        <w:rPr>
          <w:rFonts w:hint="eastAsia" w:ascii="仿宋" w:hAnsi="仿宋" w:eastAsia="仿宋" w:cs="宋体"/>
          <w:color w:val="auto"/>
          <w:sz w:val="24"/>
        </w:rPr>
        <w:t>了解</w:t>
      </w:r>
      <w:r>
        <w:rPr>
          <w:rFonts w:hint="eastAsia" w:ascii="仿宋" w:hAnsi="仿宋" w:eastAsia="仿宋" w:cs="宋体"/>
          <w:color w:val="auto"/>
          <w:sz w:val="24"/>
          <w:lang w:val="en-US" w:eastAsia="zh-CN"/>
        </w:rPr>
        <w:t>智能驾驶</w:t>
      </w:r>
      <w:r>
        <w:rPr>
          <w:rFonts w:hint="eastAsia" w:ascii="仿宋" w:hAnsi="仿宋" w:eastAsia="仿宋" w:cs="宋体"/>
          <w:color w:val="auto"/>
          <w:sz w:val="24"/>
        </w:rPr>
        <w:t>的基本概念以及运作流程</w:t>
      </w:r>
      <w:r>
        <w:rPr>
          <w:rFonts w:hint="eastAsia" w:ascii="仿宋" w:hAnsi="仿宋" w:eastAsia="仿宋" w:cs="仿宋"/>
          <w:color w:val="auto"/>
          <w:sz w:val="24"/>
          <w:szCs w:val="24"/>
          <w:lang w:val="en-US" w:eastAsia="zh-CN"/>
        </w:rPr>
        <w:t>。</w:t>
      </w:r>
    </w:p>
    <w:p>
      <w:pPr>
        <w:bidi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 场地与环境</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2.1 场地构成</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比赛地图尺寸为长2400mm*宽1200mm，含边框线外缘。场地中的线宽约为25mm。场地俯视图及任务位置区域见图1、图2。</w:t>
      </w:r>
    </w:p>
    <w:p>
      <w:pPr>
        <w:bidi w:val="0"/>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3943350" cy="1979930"/>
            <wp:effectExtent l="0" t="0" r="381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943350" cy="1979930"/>
                    </a:xfrm>
                    <a:prstGeom prst="rect">
                      <a:avLst/>
                    </a:prstGeom>
                    <a:noFill/>
                    <a:ln>
                      <a:noFill/>
                    </a:ln>
                  </pic:spPr>
                </pic:pic>
              </a:graphicData>
            </a:graphic>
          </wp:inline>
        </w:drawing>
      </w:r>
    </w:p>
    <w:p>
      <w:pPr>
        <w:bidi w:val="0"/>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图1 场地俯视图</w:t>
      </w:r>
    </w:p>
    <w:p>
      <w:pPr>
        <w:bidi w:val="0"/>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drawing>
          <wp:inline distT="0" distB="0" distL="114300" distR="114300">
            <wp:extent cx="3949065" cy="1979930"/>
            <wp:effectExtent l="0" t="0" r="13335" b="1270"/>
            <wp:docPr id="20" name="图片 20"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命名 -1"/>
                    <pic:cNvPicPr>
                      <a:picLocks noChangeAspect="1"/>
                    </pic:cNvPicPr>
                  </pic:nvPicPr>
                  <pic:blipFill>
                    <a:blip r:embed="rId9"/>
                    <a:stretch>
                      <a:fillRect/>
                    </a:stretch>
                  </pic:blipFill>
                  <pic:spPr>
                    <a:xfrm>
                      <a:off x="0" y="0"/>
                      <a:ext cx="3949065" cy="1979930"/>
                    </a:xfrm>
                    <a:prstGeom prst="rect">
                      <a:avLst/>
                    </a:prstGeom>
                  </pic:spPr>
                </pic:pic>
              </a:graphicData>
            </a:graphic>
          </wp:inline>
        </w:drawing>
      </w:r>
    </w:p>
    <w:p>
      <w:pPr>
        <w:bidi w:val="0"/>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图2 场地任务示意图</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2.2 赛场环境</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机器人比赛场地环境为低照度。由于一般赛场环境的不确定因素较多，例如：场地纸不平整、地板上有裂缝、光照条件有变化等，参赛队在设计机器人时应考虑各种应对措施。比赛场地尺寸的允许误差是±10mm，参赛队设计机器人时必须充分考虑。</w:t>
      </w:r>
    </w:p>
    <w:p>
      <w:pPr>
        <w:bidi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 比赛任务</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3.1 任务描述</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比赛任务分为低级、中级、高级三个级别，每参赛组别的任务会由不同难度级别的任务组成，具体如下表：</w:t>
      </w:r>
    </w:p>
    <w:p>
      <w:pPr>
        <w:bidi w:val="0"/>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5039995" cy="1811020"/>
            <wp:effectExtent l="0" t="0" r="4445" b="2540"/>
            <wp:docPr id="17" name="图片 17" descr="工作簿1_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作簿1_Sheet2"/>
                    <pic:cNvPicPr>
                      <a:picLocks noChangeAspect="1"/>
                    </pic:cNvPicPr>
                  </pic:nvPicPr>
                  <pic:blipFill>
                    <a:blip r:embed="rId10"/>
                    <a:stretch>
                      <a:fillRect/>
                    </a:stretch>
                  </pic:blipFill>
                  <pic:spPr>
                    <a:xfrm>
                      <a:off x="0" y="0"/>
                      <a:ext cx="5039995" cy="1811020"/>
                    </a:xfrm>
                    <a:prstGeom prst="rect">
                      <a:avLst/>
                    </a:prstGeom>
                  </pic:spPr>
                </pic:pic>
              </a:graphicData>
            </a:graphic>
          </wp:inline>
        </w:drawing>
      </w:r>
    </w:p>
    <w:p>
      <w:pPr>
        <w:bidi w:val="0"/>
        <w:spacing w:line="360" w:lineRule="auto"/>
        <w:jc w:val="center"/>
        <w:rPr>
          <w:rFonts w:hint="eastAsia" w:ascii="仿宋" w:hAnsi="仿宋" w:eastAsia="仿宋" w:cs="仿宋"/>
          <w:color w:val="auto"/>
          <w:sz w:val="24"/>
          <w:szCs w:val="24"/>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3089910</wp:posOffset>
                </wp:positionH>
                <wp:positionV relativeFrom="paragraph">
                  <wp:posOffset>4456430</wp:posOffset>
                </wp:positionV>
                <wp:extent cx="914400" cy="914400"/>
                <wp:effectExtent l="0" t="0" r="0" b="0"/>
                <wp:wrapNone/>
                <wp:docPr id="3" name="文本框 3"/>
                <wp:cNvGraphicFramePr/>
                <a:graphic xmlns:a="http://schemas.openxmlformats.org/drawingml/2006/main">
                  <a:graphicData uri="http://schemas.microsoft.com/office/word/2010/wordprocessingShape">
                    <wps:wsp>
                      <wps:cNvSpPr txBox="1"/>
                      <wps:spPr>
                        <a:xfrm>
                          <a:off x="4394835" y="91541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ascii="仿宋" w:hAnsi="仿宋" w:eastAsia="仿宋" w:cs="仿宋"/>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3pt;margin-top:350.9pt;height:72pt;width:72pt;z-index:251660288;mso-width-relative:page;mso-height-relative:page;" filled="f" stroked="f" coordsize="21600,21600" o:gfxdata="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1Sf92wAAAAsBAAAPAAAAAAAAAAEAIAAA&#10;ACIAAABkcnMvZG93bnJldi54bWxQSwECFAAUAAAACACHTuJArjWHEEICAABxBAAADgAAAAAAAAAB&#10;ACAAAAAqAQAAZHJzL2Uyb0RvYy54bWxQSwUGAAAAAAYABgBZAQAA3gUAAAAA&#10;">
                <v:fill on="f" focussize="0,0"/>
                <v:stroke on="f" weight="0.5pt"/>
                <v:imagedata o:title=""/>
                <o:lock v:ext="edit" aspectratio="f"/>
                <v:textbox>
                  <w:txbxContent>
                    <w:p>
                      <w:pPr>
                        <w:rPr>
                          <w:rFonts w:hint="eastAsia" w:eastAsia="宋体"/>
                          <w:lang w:eastAsia="zh-CN"/>
                        </w:rPr>
                      </w:pPr>
                      <w:r>
                        <w:rPr>
                          <w:rFonts w:hint="eastAsia" w:ascii="仿宋" w:hAnsi="仿宋" w:eastAsia="仿宋" w:cs="仿宋"/>
                          <w:sz w:val="24"/>
                          <w:szCs w:val="24"/>
                          <w:lang w:eastAsia="zh-CN"/>
                        </w:rPr>
                        <w:t>。</w:t>
                      </w:r>
                    </w:p>
                  </w:txbxContent>
                </v:textbox>
              </v:shape>
            </w:pict>
          </mc:Fallback>
        </mc:AlternateContent>
      </w:r>
      <w:r>
        <w:rPr>
          <w:rFonts w:hint="eastAsia" w:ascii="仿宋" w:hAnsi="仿宋" w:eastAsia="仿宋" w:cs="仿宋"/>
          <w:color w:val="auto"/>
          <w:sz w:val="24"/>
          <w:szCs w:val="24"/>
          <w:lang w:val="en-US" w:eastAsia="zh-CN"/>
        </w:rPr>
        <w:drawing>
          <wp:inline distT="0" distB="0" distL="114300" distR="114300">
            <wp:extent cx="5071110" cy="4749800"/>
            <wp:effectExtent l="0" t="0" r="3810" b="5080"/>
            <wp:docPr id="15" name="图片 15" descr="工作簿1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作簿1_Sheet1"/>
                    <pic:cNvPicPr>
                      <a:picLocks noChangeAspect="1"/>
                    </pic:cNvPicPr>
                  </pic:nvPicPr>
                  <pic:blipFill>
                    <a:blip r:embed="rId11"/>
                    <a:stretch>
                      <a:fillRect/>
                    </a:stretch>
                  </pic:blipFill>
                  <pic:spPr>
                    <a:xfrm>
                      <a:off x="0" y="0"/>
                      <a:ext cx="5071110" cy="4749800"/>
                    </a:xfrm>
                    <a:prstGeom prst="rect">
                      <a:avLst/>
                    </a:prstGeom>
                  </pic:spPr>
                </pic:pic>
              </a:graphicData>
            </a:graphic>
          </wp:inline>
        </w:drawing>
      </w:r>
    </w:p>
    <w:p>
      <w:pPr>
        <w:tabs>
          <w:tab w:val="left" w:pos="479"/>
        </w:tabs>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ab/>
      </w:r>
    </w:p>
    <w:p>
      <w:pPr>
        <w:tabs>
          <w:tab w:val="left" w:pos="479"/>
        </w:tabs>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3.2 道具模型</w:t>
      </w:r>
    </w:p>
    <w:p>
      <w:pPr>
        <w:tabs>
          <w:tab w:val="left" w:pos="479"/>
        </w:tabs>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anchor distT="0" distB="0" distL="114300" distR="114300" simplePos="0" relativeHeight="251659264" behindDoc="0" locked="0" layoutInCell="1" allowOverlap="1">
            <wp:simplePos x="0" y="0"/>
            <wp:positionH relativeFrom="column">
              <wp:posOffset>3618865</wp:posOffset>
            </wp:positionH>
            <wp:positionV relativeFrom="paragraph">
              <wp:posOffset>591820</wp:posOffset>
            </wp:positionV>
            <wp:extent cx="1626235" cy="323850"/>
            <wp:effectExtent l="0" t="0" r="4445" b="1143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626235" cy="323850"/>
                    </a:xfrm>
                    <a:prstGeom prst="rect">
                      <a:avLst/>
                    </a:prstGeom>
                    <a:noFill/>
                    <a:ln>
                      <a:noFill/>
                    </a:ln>
                  </pic:spPr>
                </pic:pic>
              </a:graphicData>
            </a:graphic>
          </wp:anchor>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1040130" cy="1440180"/>
            <wp:effectExtent l="0" t="0" r="1143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1040130" cy="1440180"/>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1428750" cy="1440180"/>
            <wp:effectExtent l="0" t="0" r="381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1428750" cy="1440180"/>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p>
    <w:p>
      <w:pPr>
        <w:tabs>
          <w:tab w:val="left" w:pos="479"/>
        </w:tabs>
        <w:bidi w:val="0"/>
        <w:spacing w:line="360" w:lineRule="auto"/>
        <w:ind w:firstLine="964" w:firstLineChars="4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图3 指示牌                          图4 卡片</w:t>
      </w:r>
    </w:p>
    <w:p>
      <w:pPr>
        <w:tabs>
          <w:tab w:val="left" w:pos="479"/>
        </w:tabs>
        <w:bidi w:val="0"/>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919480" cy="1058545"/>
            <wp:effectExtent l="0" t="0" r="10160" b="8890"/>
            <wp:docPr id="4" name="图片 6" descr="温室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温室气体"/>
                    <pic:cNvPicPr>
                      <a:picLocks noChangeAspect="1"/>
                    </pic:cNvPicPr>
                  </pic:nvPicPr>
                  <pic:blipFill>
                    <a:blip r:embed="rId15"/>
                    <a:srcRect l="5476" t="12610" r="4418" b="13889"/>
                    <a:stretch>
                      <a:fillRect/>
                    </a:stretch>
                  </pic:blipFill>
                  <pic:spPr>
                    <a:xfrm>
                      <a:off x="0" y="0"/>
                      <a:ext cx="919480" cy="1058545"/>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702945" cy="1083945"/>
            <wp:effectExtent l="0" t="0" r="0" b="13335"/>
            <wp:docPr id="10" name="图片 7" descr="磁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磁铁"/>
                    <pic:cNvPicPr>
                      <a:picLocks noChangeAspect="1"/>
                    </pic:cNvPicPr>
                  </pic:nvPicPr>
                  <pic:blipFill>
                    <a:blip r:embed="rId16"/>
                    <a:srcRect l="15567" t="12610" r="15504" b="12125"/>
                    <a:stretch>
                      <a:fillRect/>
                    </a:stretch>
                  </pic:blipFill>
                  <pic:spPr>
                    <a:xfrm>
                      <a:off x="0" y="0"/>
                      <a:ext cx="702945" cy="1083945"/>
                    </a:xfrm>
                    <a:prstGeom prst="rect">
                      <a:avLst/>
                    </a:prstGeom>
                    <a:noFill/>
                    <a:ln>
                      <a:noFill/>
                    </a:ln>
                  </pic:spPr>
                </pic:pic>
              </a:graphicData>
            </a:graphic>
          </wp:inline>
        </w:drawing>
      </w:r>
    </w:p>
    <w:p>
      <w:pPr>
        <w:tabs>
          <w:tab w:val="left" w:pos="479"/>
        </w:tabs>
        <w:bidi w:val="0"/>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图5 路牌模型                       图6 障碍物模</w:t>
      </w:r>
    </w:p>
    <w:p>
      <w:pPr>
        <w:tabs>
          <w:tab w:val="left" w:pos="479"/>
        </w:tabs>
        <w:bidi w:val="0"/>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1245235" cy="1080135"/>
            <wp:effectExtent l="0" t="0" r="444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1245235" cy="1080135"/>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1845945" cy="854710"/>
            <wp:effectExtent l="0" t="0" r="13335" b="13970"/>
            <wp:docPr id="11" name="图片 9" descr="太阳能电池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太阳能电池板"/>
                    <pic:cNvPicPr>
                      <a:picLocks noChangeAspect="1"/>
                    </pic:cNvPicPr>
                  </pic:nvPicPr>
                  <pic:blipFill>
                    <a:blip r:embed="rId18"/>
                    <a:srcRect l="4557" t="20591" r="4713" b="20062"/>
                    <a:stretch>
                      <a:fillRect/>
                    </a:stretch>
                  </pic:blipFill>
                  <pic:spPr>
                    <a:xfrm>
                      <a:off x="0" y="0"/>
                      <a:ext cx="1845945" cy="854710"/>
                    </a:xfrm>
                    <a:prstGeom prst="rect">
                      <a:avLst/>
                    </a:prstGeom>
                    <a:noFill/>
                    <a:ln>
                      <a:noFill/>
                    </a:ln>
                  </pic:spPr>
                </pic:pic>
              </a:graphicData>
            </a:graphic>
          </wp:inline>
        </w:drawing>
      </w:r>
    </w:p>
    <w:p>
      <w:pPr>
        <w:tabs>
          <w:tab w:val="left" w:pos="479"/>
        </w:tabs>
        <w:bidi w:val="0"/>
        <w:spacing w:line="360" w:lineRule="auto"/>
        <w:ind w:firstLine="1205" w:firstLineChars="500"/>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图7 红绿灯模型                 图8太阳能板任务模型</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3.2.1 红绿灯模型包含电子件，能够监测到物体靠近，通过无线信号发射至机器人，进行通讯，机器人收到信号才可以出发，发送允许出发的信号时，显示灯绿灯亮起。</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3.2.2 路牌模型，图9为未修理状态。图10为修整状态。</w:t>
      </w:r>
    </w:p>
    <w:p>
      <w:pPr>
        <w:bidi w:val="0"/>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inline distT="0" distB="0" distL="114300" distR="114300">
            <wp:extent cx="2160270" cy="2160270"/>
            <wp:effectExtent l="0" t="0" r="3810" b="3810"/>
            <wp:docPr id="14" name="图片 2" descr="IMG_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1686"/>
                    <pic:cNvPicPr>
                      <a:picLocks noChangeAspect="1"/>
                    </pic:cNvPicPr>
                  </pic:nvPicPr>
                  <pic:blipFill>
                    <a:blip r:embed="rId19"/>
                    <a:stretch>
                      <a:fillRect/>
                    </a:stretch>
                  </pic:blipFill>
                  <pic:spPr>
                    <a:xfrm>
                      <a:off x="0" y="0"/>
                      <a:ext cx="2160270" cy="2160270"/>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2160270" cy="2160270"/>
            <wp:effectExtent l="0" t="0" r="3810" b="3810"/>
            <wp:docPr id="9" name="图片 3" descr="IMG_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1687"/>
                    <pic:cNvPicPr>
                      <a:picLocks noChangeAspect="1"/>
                    </pic:cNvPicPr>
                  </pic:nvPicPr>
                  <pic:blipFill>
                    <a:blip r:embed="rId20"/>
                    <a:stretch>
                      <a:fillRect/>
                    </a:stretch>
                  </pic:blipFill>
                  <pic:spPr>
                    <a:xfrm>
                      <a:off x="0" y="0"/>
                      <a:ext cx="2160270" cy="2160270"/>
                    </a:xfrm>
                    <a:prstGeom prst="rect">
                      <a:avLst/>
                    </a:prstGeom>
                    <a:noFill/>
                    <a:ln>
                      <a:noFill/>
                    </a:ln>
                  </pic:spPr>
                </pic:pic>
              </a:graphicData>
            </a:graphic>
          </wp:inline>
        </w:drawing>
      </w:r>
    </w:p>
    <w:p>
      <w:pPr>
        <w:bidi w:val="0"/>
        <w:spacing w:line="360" w:lineRule="auto"/>
        <w:ind w:firstLine="1205" w:firstLineChars="50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图9 未修理状态                        图10 修整状态</w:t>
      </w:r>
    </w:p>
    <w:p>
      <w:pPr>
        <w:bidi w:val="0"/>
        <w:spacing w:line="360" w:lineRule="auto"/>
        <w:ind w:firstLine="480" w:firstLineChars="2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3.2.3 太阳能电池板，图11为关闭状态。图12为打开状态。</w:t>
      </w:r>
    </w:p>
    <w:p>
      <w:pPr>
        <w:bidi w:val="0"/>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2160270" cy="2160270"/>
            <wp:effectExtent l="0" t="0" r="3810" b="3810"/>
            <wp:docPr id="6" name="图片 4" descr="IMG_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1688"/>
                    <pic:cNvPicPr>
                      <a:picLocks noChangeAspect="1"/>
                    </pic:cNvPicPr>
                  </pic:nvPicPr>
                  <pic:blipFill>
                    <a:blip r:embed="rId21"/>
                    <a:stretch>
                      <a:fillRect/>
                    </a:stretch>
                  </pic:blipFill>
                  <pic:spPr>
                    <a:xfrm>
                      <a:off x="0" y="0"/>
                      <a:ext cx="2160270" cy="2160270"/>
                    </a:xfrm>
                    <a:prstGeom prst="rect">
                      <a:avLst/>
                    </a:prstGeom>
                    <a:noFill/>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en-US" w:eastAsia="zh-CN"/>
        </w:rPr>
        <w:drawing>
          <wp:inline distT="0" distB="0" distL="114300" distR="114300">
            <wp:extent cx="2160270" cy="2160270"/>
            <wp:effectExtent l="0" t="0" r="3810" b="3810"/>
            <wp:docPr id="12" name="图片 5" descr="IMG_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1689"/>
                    <pic:cNvPicPr>
                      <a:picLocks noChangeAspect="1"/>
                    </pic:cNvPicPr>
                  </pic:nvPicPr>
                  <pic:blipFill>
                    <a:blip r:embed="rId22"/>
                    <a:stretch>
                      <a:fillRect/>
                    </a:stretch>
                  </pic:blipFill>
                  <pic:spPr>
                    <a:xfrm>
                      <a:off x="0" y="0"/>
                      <a:ext cx="2160270" cy="2160270"/>
                    </a:xfrm>
                    <a:prstGeom prst="rect">
                      <a:avLst/>
                    </a:prstGeom>
                    <a:noFill/>
                    <a:ln>
                      <a:noFill/>
                    </a:ln>
                  </pic:spPr>
                </pic:pic>
              </a:graphicData>
            </a:graphic>
          </wp:inline>
        </w:drawing>
      </w:r>
    </w:p>
    <w:p>
      <w:pPr>
        <w:bidi w:val="0"/>
        <w:spacing w:line="360" w:lineRule="auto"/>
        <w:ind w:firstLine="1205" w:firstLineChars="50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图11 关闭状态                        图12 打开状态</w:t>
      </w:r>
    </w:p>
    <w:p>
      <w:pPr>
        <w:bidi w:val="0"/>
        <w:spacing w:line="360" w:lineRule="auto"/>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 机器人</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4.1 机器人硬件要求</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4.1.1 机器人在启动区时长、宽和高分别不超过250mm、250mm和300mm,在完成任务的过程中其尺寸不作限制。</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4.1.2 单台机器人只允许使用1个控制器。视觉模块内置颜色识别、人脸识别、标签分类、视觉巡线、数字识别、路标识别、图像分类、特征学习共8种功能。</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4.1.3 为了安全，电子元器件必须采用外壳封装。电子元器件种类和数量不限。在准备区可以有备份/替换的电气元件。</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4.1.4 单台机器人使用的电机和舵机种类不限，总数量不得超过3个。</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4.1.5 机器人结构必须使用塑料积木件或钣金材料搭建，不允许使用螺丝、螺钉、铆钉、胶水、胶带、橡皮筋、等辅助连接材料。核心模块最小单元外壳允许使用螺丝固定；使用到的扎带类固定品，只允许固定连接线，不可用于结构连接。</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4.1.6 每台机器人必须自备独立电池，电池电压不超过9.0V。</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4.2 机器人软件要求</w:t>
      </w:r>
    </w:p>
    <w:p>
      <w:pPr>
        <w:bidi w:val="0"/>
        <w:spacing w:line="360" w:lineRule="auto"/>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4.2.1 机器人编程软件不限，可以使用图形化编程、python等编程软件。</w:t>
      </w:r>
    </w:p>
    <w:p>
      <w:pPr>
        <w:bidi w:val="0"/>
        <w:spacing w:line="360" w:lineRule="auto"/>
        <w:ind w:left="479" w:leftChars="228" w:firstLine="0" w:firstLineChars="0"/>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4.2.2 编程电脑</w:t>
      </w:r>
      <w:r>
        <w:rPr>
          <w:rFonts w:hint="eastAsia" w:ascii="仿宋" w:hAnsi="仿宋" w:eastAsia="仿宋" w:cs="仿宋"/>
          <w:color w:val="auto"/>
          <w:sz w:val="24"/>
          <w:szCs w:val="24"/>
          <w:lang w:val="en-US" w:eastAsia="zh-CN"/>
        </w:rPr>
        <w:t>：参赛选手自带竞赛用笔记本电脑，Win 7及以上操作系统。</w:t>
      </w:r>
    </w:p>
    <w:p>
      <w:pPr>
        <w:bidi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5 比赛</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5.1 参赛队</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每支参赛队由2名学生和1名教练员组成。参赛队员应以积极的心态面对和自主地处理在比赛中遇到的所有问题。</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5.2 赛制与赛程</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5.2.1 比赛将按小学、初中、高中（含中职）三个组别分别进行。</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5.2.2 比赛连续两轮，每轮180秒。最终成绩为两轮相加，取总分。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5.2.3 比赛分三个阶段，编程与调试阶段、机器人封存阶段、竞赛阶段。</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5.2.4 编程与调试阶段：总时长90分钟，参赛选手自己编写程序并调试机器人。</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5.2.5 机器人封存阶段：编程与调试结束后，参赛选手由裁判员协助在机器人醒目处张贴队伍编号后，上交机器人统一封存。</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5.2.6 竞赛阶段：竞赛分两轮。参赛队确认准备好后须举手示意，裁判员发出指令后，选手方可启动机器人。在裁判员发出指令前启动机器人将受到警告或犯规处罚。</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5.3 编程、调试</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5.3.1 编程与调试只能在调试区进行。</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5.3.2 参赛队员检录后方能进入准备区。裁判员对参赛队携带的器材进行检查，所用器材必须符合组委会相关规定与要求。参赛队员</w:t>
      </w:r>
      <w:r>
        <w:rPr>
          <w:rFonts w:hint="eastAsia" w:ascii="仿宋" w:hAnsi="仿宋" w:eastAsia="仿宋" w:cs="仿宋"/>
          <w:color w:val="auto"/>
          <w:sz w:val="24"/>
          <w:szCs w:val="24"/>
          <w:highlight w:val="none"/>
          <w:lang w:val="en-US" w:eastAsia="zh-CN"/>
        </w:rPr>
        <w:t>可以携带已搭建的两台机器人进入准备区。</w:t>
      </w:r>
      <w:r>
        <w:rPr>
          <w:rFonts w:hint="eastAsia" w:ascii="仿宋" w:hAnsi="仿宋" w:eastAsia="仿宋" w:cs="仿宋"/>
          <w:color w:val="auto"/>
          <w:sz w:val="24"/>
          <w:szCs w:val="24"/>
          <w:lang w:val="en-US" w:eastAsia="zh-CN"/>
        </w:rPr>
        <w:t>队员不得携带U盘、光盘、无线路由器、手机、相机等存储和通信器材。</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5.3.3 整场比赛参赛队员有90分钟编程和调试的时间。结束后，各参赛队在指定位置封存机器人。</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5.4 赛前准备</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5.4.1 每轮比赛前，参赛队伍必须按时到达赛场。在规定时间内未到场的参赛队伍将被视为弃权，成绩记为0分。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5.4.2 每支参赛队可有2名队员进入比赛区，站立在待命区附近。</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5.4.3 每轮比赛开始前，机器人必须放在启动区中。</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5.4.4 到场的参赛队员应抓紧时间做好启动前的准备工作(例如，将机器人恢复到初始状态等)。</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5.4.5 完成准备工作后，队员须向裁判员举手示意。</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5.5 启动与比赛</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5.5.1 裁判员确认两个参赛队员均已准备好后，将发出“3、2、1，开始”的倒计数启动口令。随着倒计时的开始，操作手听到开始命令的第一个字，即可以启动机器人。</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5.5.2 比赛开始前，所有得分物品均应放置在抽取的位置。</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5.5.3 比赛开始前，机器人长、宽、高不得超出250mm、250mm、300mm。比赛一旦开始，机器人可以伸展，尺寸不受限制。影响比赛的犯规将导致取消比赛资格。裁判长可决定取消受到多次警告的参赛队的比赛资格。</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5.5.4 在“开始”命令前启动机器人将被视为“误启动”并受到警告或犯规处罚。</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5.5.5 机器人一旦启动，就只能受自带的控制器中的程序控制。</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5.5.6 机器人在180秒内，可尝试完成所有任务以获得更多的分数，时间不暂停。比赛期间，已被改变位置与状态的的得分物品，不得手动恢复至初始状态。</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5.5.7 机器人在比赛过程中，垂直投影完全离开场地，则比赛结束，由裁判员统计已完成任务得分。</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5.6 重启</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重启是指比赛过程中，机器人被参赛选手拿回基地。</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5.6.1 单轮比赛时间（180秒）内，重启次数不限；</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5.6.2 需要重启时应先向裁判申请，裁判许可后，方可将接触机器人并把它搬回基地；</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5.6.3 比赛计时不因重启而停止；</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5.6.4 重启可以调整机器人结构件、传动件及核心模块，也可以调整待运行的程序；</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5.7 比赛结束</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5.7.1 每场比赛总时间为180秒钟。</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5.7.2 裁判员宣布本轮比赛结束后，参赛选手不得触碰机器人与得分物品。裁判员统计本轮得分，参赛队员确认成绩无误后，均须签字确认。</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5.7.3 主裁判发出“清理场地”的信号后，参赛队员才能进入比赛场地搬动自己的机器人。裁判员和志愿者将场地得分物品恢复到启动前状态，参赛队员应立即将自己的机器人搬回准备区。</w:t>
      </w:r>
    </w:p>
    <w:p>
      <w:pPr>
        <w:bidi w:val="0"/>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5.8 计分标准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5.8.1 启动出发:机器人垂直投影完全离开基地,得10分。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5.8.2 限速行驶:机器人识别到限速标示时，并在屏幕上显示，机器人降速向前行驶，直到识别到解除限速标示,得15分。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5.8.3 躲避路障：机器人检测到道路中的障碍物时，需要不触碰障碍物的情况下，避开障碍物，得20分。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5.8.4 解除限速：机器人识别到解除限速标示时，并在屏幕上显示，机器人正常速度向前行驶，得15分。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5.8.5 修理路牌：机器人检测到道路中的路牌时，需要将路牌直立起来，直立状态直到比赛结束，得15分。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5.8.6 太阳能充电：机器人进入充电区时，需要打开太阳能板装置开关，使得太阳能电池板伸展开进行太阳能充电，直立状态直到比赛结束，得20分。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5.8.7 转向识别：机器人识别到解除限速标示时，并在屏幕上显示，需要根据转向标示正解转向行驶，得15分。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5.8.8 红绿灯识别：机器人识别到红绿灯标示时，需要根据红灯停、绿灯行的规则进行行驶（红灯停止3秒，绿灯直接通过），得15分。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5.8.9 倒车入库：机器人识别到库号标示时，并在屏幕上显示，需要根据库号标示进行倒车至正确的车库内，机器人的垂直投影完全在车库内，得20分。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5.8.10 终点停车：机器人倒车入库至正确的车位后，垂直投影完全在车库内停车需要亮灯3秒并发声音后再停止所有动作，得10分。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5.8.11 神秘任务：由组委会现场出题，根据任务要求完成，得50分。</w:t>
      </w:r>
    </w:p>
    <w:p>
      <w:pPr>
        <w:bidi w:val="0"/>
        <w:spacing w:line="360" w:lineRule="auto"/>
        <w:ind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5.9 犯规与取消比赛资格</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5.9.1 经过催促仍未准时到达比赛区的参赛队将取消其比赛资格。</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5.9.2 参赛队员第一次误启动将受到裁判员警告，第二次误启动将按弃权处理。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5.9.3 如果由参赛队员或机器人造成任务模型损坏，不管有意还是无意，将警告一次。该场该任务不得分，即使该任务已完成。</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5.9.4 比赛中，参赛队员有意接触任务模型或机器人，该参赛队将被取消比赛资格。偶然的接触可以不当作犯规，除非这种接触直接影响到比赛的最终得分。</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5.9.5 参赛队员不听从裁判员的指令将被取消比赛资格。</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5.9.6 参赛队员在未经裁判长允许的情况下，私自与教练员或家长联系，将被取消比赛资格。</w:t>
      </w:r>
    </w:p>
    <w:p>
      <w:pPr>
        <w:bidi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6 获胜名次排列规则</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比赛连续2轮，最终成绩取两轮成绩之和进行排名。如果出现局部并列的排名，按如下顺序决定先后：</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 所有场次</w:t>
      </w:r>
      <w:r>
        <w:rPr>
          <w:rFonts w:hint="eastAsia" w:ascii="仿宋" w:hAnsi="仿宋" w:eastAsia="仿宋" w:cs="仿宋"/>
          <w:color w:val="auto"/>
          <w:sz w:val="24"/>
          <w:szCs w:val="24"/>
          <w:lang w:val="en-US" w:eastAsia="zh-Hans"/>
        </w:rPr>
        <w:t>总</w:t>
      </w:r>
      <w:r>
        <w:rPr>
          <w:rFonts w:hint="eastAsia" w:ascii="仿宋" w:hAnsi="仿宋" w:eastAsia="仿宋" w:cs="仿宋"/>
          <w:color w:val="auto"/>
          <w:sz w:val="24"/>
          <w:szCs w:val="24"/>
          <w:lang w:val="en-US" w:eastAsia="zh-CN"/>
        </w:rPr>
        <w:t>用时少的队在前。</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 单场成绩高的队在前。</w:t>
      </w:r>
      <w:bookmarkStart w:id="1" w:name="_GoBack"/>
      <w:bookmarkEnd w:id="1"/>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6.3 单场最高成绩的用时短的队在前。</w:t>
      </w:r>
    </w:p>
    <w:p>
      <w:pPr>
        <w:keepNext w:val="0"/>
        <w:keepLines w:val="0"/>
        <w:pageBreakBefore w:val="0"/>
        <w:widowControl/>
        <w:wordWrap/>
        <w:overflowPunct/>
        <w:topLinePunct w:val="0"/>
        <w:autoSpaceDE w:val="0"/>
        <w:autoSpaceDN w:val="0"/>
        <w:bidi w:val="0"/>
        <w:spacing w:line="360" w:lineRule="auto"/>
        <w:ind w:firstLine="480" w:firstLineChars="200"/>
        <w:rPr>
          <w:rFonts w:hint="eastAsia" w:ascii="仿宋" w:hAnsi="仿宋" w:eastAsia="仿宋" w:cs="仿宋"/>
          <w:color w:val="auto"/>
          <w:sz w:val="24"/>
          <w:szCs w:val="24"/>
          <w14:textOutline w14:w="6537" w14:cap="sq" w14:cmpd="sng">
            <w14:solidFill>
              <w14:srgbClr w14:val="000000"/>
            </w14:solidFill>
            <w14:prstDash w14:val="solid"/>
            <w14:bevel/>
          </w14:textOutline>
        </w:rPr>
      </w:pPr>
    </w:p>
    <w:p>
      <w:pPr>
        <w:rPr>
          <w:rFonts w:hint="eastAsia" w:ascii="仿宋" w:hAnsi="仿宋" w:eastAsia="仿宋" w:cs="仿宋"/>
          <w:color w:val="auto"/>
          <w:sz w:val="24"/>
          <w:szCs w:val="24"/>
          <w14:textOutline w14:w="6537" w14:cap="sq" w14:cmpd="sng">
            <w14:solidFill>
              <w14:srgbClr w14:val="000000"/>
            </w14:solidFill>
            <w14:prstDash w14:val="solid"/>
            <w14:bevel/>
          </w14:textOutline>
        </w:rPr>
      </w:pPr>
      <w:r>
        <w:rPr>
          <w:rFonts w:hint="eastAsia" w:ascii="仿宋" w:hAnsi="仿宋" w:eastAsia="仿宋" w:cs="仿宋"/>
          <w:color w:val="auto"/>
          <w:sz w:val="24"/>
          <w:szCs w:val="24"/>
          <w14:textOutline w14:w="6537" w14:cap="sq" w14:cmpd="sng">
            <w14:solidFill>
              <w14:srgbClr w14:val="000000"/>
            </w14:solidFill>
            <w14:prstDash w14:val="solid"/>
            <w14:bevel/>
          </w14:textOutline>
        </w:rPr>
        <w:br w:type="page"/>
      </w:r>
    </w:p>
    <w:p>
      <w:pPr>
        <w:bidi w:val="0"/>
        <w:jc w:val="center"/>
        <w:rPr>
          <w:rFonts w:hint="eastAsia" w:ascii="黑体" w:hAnsi="黑体" w:eastAsia="黑体" w:cs="黑体"/>
          <w:color w:val="auto"/>
          <w:sz w:val="32"/>
          <w:szCs w:val="32"/>
          <w:lang w:val="en-US" w:eastAsia="zh-CN"/>
        </w:rPr>
      </w:pPr>
    </w:p>
    <w:p>
      <w:pPr>
        <w:bidi w:val="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智能驾驶挑战赛</w:t>
      </w:r>
    </w:p>
    <w:p>
      <w:pPr>
        <w:bidi w:val="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竞赛记分表</w:t>
      </w:r>
    </w:p>
    <w:p>
      <w:pPr>
        <w:spacing w:before="75" w:line="228" w:lineRule="auto"/>
        <w:ind w:firstLine="1150" w:firstLineChars="500"/>
        <w:jc w:val="both"/>
        <w:rPr>
          <w:rFonts w:hint="eastAsia" w:ascii="仿宋" w:hAnsi="仿宋" w:eastAsia="仿宋" w:cs="仿宋"/>
          <w:color w:val="auto"/>
          <w:sz w:val="23"/>
          <w:szCs w:val="23"/>
          <w:lang w:val="en-US" w:eastAsia="zh-CN"/>
        </w:rPr>
      </w:pPr>
    </w:p>
    <w:p>
      <w:pPr>
        <w:spacing w:before="75" w:line="228" w:lineRule="auto"/>
        <w:jc w:val="both"/>
        <w:rPr>
          <w:rFonts w:hint="eastAsia" w:ascii="仿宋" w:hAnsi="仿宋" w:eastAsia="仿宋" w:cs="仿宋"/>
          <w:color w:val="auto"/>
          <w:sz w:val="23"/>
          <w:szCs w:val="23"/>
          <w:u w:val="single"/>
          <w:lang w:val="en-US" w:eastAsia="zh-CN"/>
        </w:rPr>
      </w:pPr>
      <w:r>
        <w:rPr>
          <w:rFonts w:hint="eastAsia" w:ascii="仿宋" w:hAnsi="仿宋" w:eastAsia="仿宋" w:cs="仿宋"/>
          <w:color w:val="auto"/>
          <w:sz w:val="23"/>
          <w:szCs w:val="23"/>
          <w:lang w:val="en-US" w:eastAsia="zh-CN"/>
        </w:rPr>
        <w:t>组别：</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参赛学校</w:t>
      </w:r>
      <w:r>
        <w:rPr>
          <w:rFonts w:hint="eastAsia" w:ascii="仿宋" w:hAnsi="仿宋" w:eastAsia="仿宋" w:cs="仿宋"/>
          <w:color w:val="auto"/>
          <w:sz w:val="23"/>
          <w:szCs w:val="23"/>
          <w:u w:val="none"/>
          <w:lang w:val="en-US" w:eastAsia="zh-CN"/>
        </w:rPr>
        <w:t xml:space="preserve"> ：</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队伍编号</w:t>
      </w:r>
      <w:r>
        <w:rPr>
          <w:rFonts w:hint="eastAsia" w:ascii="仿宋" w:hAnsi="仿宋" w:eastAsia="仿宋" w:cs="仿宋"/>
          <w:color w:val="auto"/>
          <w:sz w:val="23"/>
          <w:szCs w:val="23"/>
          <w:u w:val="none"/>
          <w:lang w:val="en-US" w:eastAsia="zh-CN"/>
        </w:rPr>
        <w:t>：</w:t>
      </w:r>
      <w:r>
        <w:rPr>
          <w:rFonts w:hint="eastAsia" w:ascii="仿宋" w:hAnsi="仿宋" w:eastAsia="仿宋" w:cs="仿宋"/>
          <w:color w:val="auto"/>
          <w:sz w:val="23"/>
          <w:szCs w:val="23"/>
          <w:u w:val="single"/>
          <w:lang w:val="en-US" w:eastAsia="zh-CN"/>
        </w:rPr>
        <w:t xml:space="preserve">          </w:t>
      </w:r>
    </w:p>
    <w:p>
      <w:pPr>
        <w:bidi w:val="0"/>
        <w:jc w:val="center"/>
        <w:rPr>
          <w:rFonts w:hint="eastAsia" w:ascii="仿宋" w:hAnsi="仿宋" w:eastAsia="仿宋" w:cs="仿宋"/>
          <w:color w:val="auto"/>
          <w:sz w:val="24"/>
          <w:szCs w:val="24"/>
          <w:lang w:val="en-US" w:eastAsia="zh-CN"/>
        </w:rPr>
      </w:pPr>
    </w:p>
    <w:tbl>
      <w:tblPr>
        <w:tblStyle w:val="7"/>
        <w:tblW w:w="5034" w:type="pct"/>
        <w:jc w:val="center"/>
        <w:tblDescription w:val="{&quot;styleId&quot;: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2492"/>
        <w:gridCol w:w="866"/>
        <w:gridCol w:w="2080"/>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top"/>
          </w:tcPr>
          <w:p>
            <w:pPr>
              <w:spacing w:before="218"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488" w:type="pct"/>
            <w:tcBorders>
              <w:tl2br w:val="nil"/>
              <w:tr2bl w:val="nil"/>
            </w:tcBorders>
            <w:shd w:val="clear" w:color="auto" w:fill="FFFFFF"/>
            <w:vAlign w:val="top"/>
          </w:tcPr>
          <w:p>
            <w:pPr>
              <w:spacing w:before="218" w:line="360" w:lineRule="auto"/>
              <w:jc w:val="center"/>
              <w:rPr>
                <w:rFonts w:hint="eastAsia" w:ascii="仿宋" w:hAnsi="仿宋" w:eastAsia="仿宋" w:cs="仿宋"/>
                <w:color w:val="auto"/>
                <w:sz w:val="24"/>
                <w:szCs w:val="24"/>
              </w:rPr>
            </w:pPr>
            <w:r>
              <w:rPr>
                <w:rFonts w:hint="eastAsia" w:ascii="仿宋" w:hAnsi="仿宋" w:eastAsia="仿宋" w:cs="仿宋"/>
                <w:color w:val="auto"/>
                <w:spacing w:val="8"/>
                <w:sz w:val="24"/>
                <w:szCs w:val="24"/>
              </w:rPr>
              <w:t>评</w:t>
            </w:r>
            <w:r>
              <w:rPr>
                <w:rFonts w:hint="eastAsia" w:ascii="仿宋" w:hAnsi="仿宋" w:eastAsia="仿宋" w:cs="仿宋"/>
                <w:color w:val="auto"/>
                <w:spacing w:val="5"/>
                <w:sz w:val="24"/>
                <w:szCs w:val="24"/>
              </w:rPr>
              <w:t>分项目</w:t>
            </w:r>
          </w:p>
        </w:tc>
        <w:tc>
          <w:tcPr>
            <w:tcW w:w="517" w:type="pct"/>
            <w:tcBorders>
              <w:tl2br w:val="nil"/>
              <w:tr2bl w:val="nil"/>
            </w:tcBorders>
            <w:shd w:val="clear" w:color="auto" w:fill="FFFFFF"/>
            <w:vAlign w:val="top"/>
          </w:tcPr>
          <w:p>
            <w:pPr>
              <w:spacing w:before="218" w:line="360" w:lineRule="auto"/>
              <w:jc w:val="center"/>
              <w:rPr>
                <w:rFonts w:hint="eastAsia" w:ascii="仿宋" w:hAnsi="仿宋" w:eastAsia="仿宋" w:cs="仿宋"/>
                <w:color w:val="auto"/>
                <w:sz w:val="24"/>
                <w:szCs w:val="24"/>
              </w:rPr>
            </w:pPr>
            <w:r>
              <w:rPr>
                <w:rFonts w:hint="eastAsia" w:ascii="仿宋" w:hAnsi="仿宋" w:eastAsia="仿宋" w:cs="仿宋"/>
                <w:color w:val="auto"/>
                <w:spacing w:val="2"/>
                <w:sz w:val="24"/>
                <w:szCs w:val="24"/>
              </w:rPr>
              <w:t>计分</w:t>
            </w:r>
          </w:p>
        </w:tc>
        <w:tc>
          <w:tcPr>
            <w:tcW w:w="1242" w:type="pct"/>
            <w:tcBorders>
              <w:tl2br w:val="nil"/>
              <w:tr2bl w:val="nil"/>
            </w:tcBorders>
            <w:shd w:val="clear" w:color="auto" w:fill="FFFFFF"/>
            <w:vAlign w:val="top"/>
          </w:tcPr>
          <w:p>
            <w:pPr>
              <w:spacing w:before="219"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第一轮得分</w:t>
            </w:r>
          </w:p>
        </w:tc>
        <w:tc>
          <w:tcPr>
            <w:tcW w:w="1244" w:type="pct"/>
            <w:tcBorders>
              <w:tl2br w:val="nil"/>
              <w:tr2bl w:val="nil"/>
            </w:tcBorders>
            <w:shd w:val="clear" w:color="auto" w:fill="FFFFFF"/>
            <w:vAlign w:val="top"/>
          </w:tcPr>
          <w:p>
            <w:pPr>
              <w:spacing w:before="218"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第二轮得分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shd w:val="clear" w:color="auto" w:fill="FFFFFF"/>
              </w:rPr>
              <w:t>1</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启动出发</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shd w:val="clear" w:color="auto" w:fill="FFFFFF"/>
              </w:rPr>
              <w:t>2</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限速行驶</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躲避路障</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bidi w:val="0"/>
              <w:jc w:val="center"/>
              <w:rPr>
                <w:rFonts w:hint="eastAsia" w:ascii="Arial" w:hAnsi="Arial" w:eastAsia="Arial" w:cs="Arial"/>
                <w:snapToGrid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4</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解除限速</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15</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5</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修理路牌</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太阳能充电</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转向识别</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红绿灯识别</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倒车入库</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终点停车</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1488" w:type="pct"/>
            <w:tcBorders>
              <w:tl2br w:val="nil"/>
              <w:tr2bl w:val="nil"/>
            </w:tcBorders>
            <w:shd w:val="clear" w:color="auto" w:fill="FFFFFF"/>
            <w:vAlign w:val="center"/>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神秘任务</w:t>
            </w:r>
          </w:p>
        </w:tc>
        <w:tc>
          <w:tcPr>
            <w:tcW w:w="517"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50</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snapToGrid w:val="0"/>
                <w:color w:val="auto"/>
                <w:kern w:val="0"/>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p>
        </w:tc>
        <w:tc>
          <w:tcPr>
            <w:tcW w:w="2005" w:type="pct"/>
            <w:gridSpan w:val="2"/>
            <w:tcBorders>
              <w:tl2br w:val="nil"/>
              <w:tr2bl w:val="nil"/>
            </w:tcBorders>
            <w:shd w:val="clear" w:color="auto" w:fill="FFFFFF"/>
            <w:vAlign w:val="center"/>
          </w:tcPr>
          <w:p>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单轮得分</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8" w:type="pct"/>
            <w:tcBorders>
              <w:tl2br w:val="nil"/>
              <w:tr2bl w:val="nil"/>
            </w:tcBorders>
            <w:shd w:val="clear" w:color="auto" w:fill="FFFFFF"/>
            <w:vAlign w:val="bottom"/>
          </w:tcPr>
          <w:p>
            <w:pPr>
              <w:spacing w:line="360" w:lineRule="auto"/>
              <w:jc w:val="center"/>
              <w:rPr>
                <w:rFonts w:hint="eastAsia" w:ascii="仿宋" w:hAnsi="仿宋" w:eastAsia="仿宋" w:cs="仿宋"/>
                <w:snapToGrid w:val="0"/>
                <w:color w:val="auto"/>
                <w:kern w:val="0"/>
                <w:sz w:val="24"/>
                <w:szCs w:val="24"/>
                <w:lang w:val="en-US" w:eastAsia="zh-CN"/>
              </w:rPr>
            </w:pPr>
            <w:r>
              <w:rPr>
                <w:rFonts w:hint="eastAsia" w:ascii="仿宋" w:hAnsi="仿宋" w:eastAsia="仿宋" w:cs="仿宋"/>
                <w:color w:val="auto"/>
                <w:sz w:val="24"/>
                <w:szCs w:val="24"/>
                <w:lang w:val="en-US" w:eastAsia="zh-CN"/>
              </w:rPr>
              <w:t>13</w:t>
            </w:r>
          </w:p>
        </w:tc>
        <w:tc>
          <w:tcPr>
            <w:tcW w:w="2005" w:type="pct"/>
            <w:gridSpan w:val="2"/>
            <w:tcBorders>
              <w:tl2br w:val="nil"/>
              <w:tr2bl w:val="nil"/>
            </w:tcBorders>
            <w:shd w:val="clear" w:color="auto" w:fill="FFFFFF"/>
            <w:vAlign w:val="center"/>
          </w:tcPr>
          <w:p>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单轮用时</w:t>
            </w:r>
          </w:p>
        </w:tc>
        <w:tc>
          <w:tcPr>
            <w:tcW w:w="1242"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c>
          <w:tcPr>
            <w:tcW w:w="1244" w:type="pct"/>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96" w:type="pct"/>
            <w:gridSpan w:val="2"/>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总得分</w:t>
            </w:r>
          </w:p>
        </w:tc>
        <w:tc>
          <w:tcPr>
            <w:tcW w:w="3003" w:type="pct"/>
            <w:gridSpan w:val="3"/>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96" w:type="pct"/>
            <w:gridSpan w:val="2"/>
            <w:tcBorders>
              <w:tl2br w:val="nil"/>
              <w:tr2bl w:val="nil"/>
            </w:tcBorders>
            <w:shd w:val="clear" w:color="auto" w:fill="FFFFFF"/>
            <w:vAlign w:val="bottom"/>
          </w:tcPr>
          <w:p>
            <w:pPr>
              <w:spacing w:line="360" w:lineRule="auto"/>
              <w:jc w:val="center"/>
              <w:rPr>
                <w:rFonts w:hint="default" w:ascii="仿宋" w:hAnsi="仿宋" w:eastAsia="仿宋" w:cs="仿宋"/>
                <w:color w:val="auto"/>
                <w:sz w:val="24"/>
                <w:szCs w:val="24"/>
                <w:lang w:val="en-US"/>
              </w:rPr>
            </w:pPr>
            <w:r>
              <w:rPr>
                <w:rFonts w:hint="eastAsia" w:ascii="仿宋" w:hAnsi="仿宋" w:eastAsia="仿宋" w:cs="仿宋"/>
                <w:color w:val="auto"/>
                <w:sz w:val="24"/>
                <w:szCs w:val="24"/>
                <w:lang w:val="en-US" w:eastAsia="zh-CN"/>
              </w:rPr>
              <w:t>总用时</w:t>
            </w:r>
          </w:p>
        </w:tc>
        <w:tc>
          <w:tcPr>
            <w:tcW w:w="3003" w:type="pct"/>
            <w:gridSpan w:val="3"/>
            <w:tcBorders>
              <w:tl2br w:val="nil"/>
              <w:tr2bl w:val="nil"/>
            </w:tcBorders>
            <w:shd w:val="clear" w:color="auto" w:fill="FFFFFF"/>
            <w:vAlign w:val="bottom"/>
          </w:tcPr>
          <w:p>
            <w:pPr>
              <w:spacing w:line="360" w:lineRule="auto"/>
              <w:jc w:val="center"/>
              <w:rPr>
                <w:rFonts w:hint="eastAsia" w:ascii="仿宋" w:hAnsi="仿宋" w:eastAsia="仿宋" w:cs="仿宋"/>
                <w:color w:val="auto"/>
                <w:sz w:val="24"/>
                <w:szCs w:val="24"/>
              </w:rPr>
            </w:pPr>
          </w:p>
        </w:tc>
      </w:tr>
    </w:tbl>
    <w:p>
      <w:pPr>
        <w:spacing w:before="75" w:line="360" w:lineRule="auto"/>
        <w:rPr>
          <w:rFonts w:hint="eastAsia" w:ascii="仿宋" w:hAnsi="仿宋" w:eastAsia="仿宋" w:cs="仿宋"/>
          <w:color w:val="auto"/>
          <w:spacing w:val="5"/>
          <w:sz w:val="24"/>
          <w:szCs w:val="24"/>
        </w:rPr>
      </w:pPr>
    </w:p>
    <w:p>
      <w:pPr>
        <w:rPr>
          <w:rFonts w:hint="eastAsia" w:ascii="仿宋" w:hAnsi="仿宋" w:eastAsia="仿宋" w:cs="仿宋"/>
          <w:color w:val="auto"/>
          <w:sz w:val="23"/>
          <w:szCs w:val="23"/>
          <w:u w:val="single"/>
          <w:lang w:val="en-US" w:eastAsia="zh-CN"/>
        </w:rPr>
      </w:pPr>
      <w:r>
        <w:rPr>
          <w:rFonts w:hint="eastAsia" w:ascii="仿宋" w:hAnsi="仿宋" w:eastAsia="仿宋" w:cs="仿宋"/>
          <w:color w:val="auto"/>
          <w:spacing w:val="10"/>
          <w:sz w:val="23"/>
          <w:szCs w:val="23"/>
        </w:rPr>
        <w:t>参</w:t>
      </w:r>
      <w:r>
        <w:rPr>
          <w:rFonts w:hint="eastAsia" w:ascii="仿宋" w:hAnsi="仿宋" w:eastAsia="仿宋" w:cs="仿宋"/>
          <w:color w:val="auto"/>
          <w:spacing w:val="5"/>
          <w:sz w:val="23"/>
          <w:szCs w:val="23"/>
        </w:rPr>
        <w:t>赛队员</w:t>
      </w:r>
      <w:r>
        <w:rPr>
          <w:rFonts w:hint="eastAsia" w:ascii="仿宋" w:hAnsi="仿宋" w:eastAsia="仿宋" w:cs="仿宋"/>
          <w:color w:val="auto"/>
          <w:spacing w:val="5"/>
          <w:sz w:val="23"/>
          <w:szCs w:val="23"/>
          <w:lang w:val="en-US" w:eastAsia="zh-CN"/>
        </w:rPr>
        <w:t>签字</w:t>
      </w:r>
      <w:r>
        <w:rPr>
          <w:rFonts w:hint="eastAsia" w:ascii="仿宋" w:hAnsi="仿宋" w:eastAsia="仿宋" w:cs="仿宋"/>
          <w:color w:val="auto"/>
          <w:spacing w:val="5"/>
          <w:sz w:val="23"/>
          <w:szCs w:val="23"/>
        </w:rPr>
        <w:t>：</w:t>
      </w:r>
      <w:r>
        <w:rPr>
          <w:rFonts w:hint="eastAsia" w:ascii="仿宋" w:hAnsi="仿宋" w:eastAsia="仿宋" w:cs="仿宋"/>
          <w:color w:val="auto"/>
          <w:spacing w:val="5"/>
          <w:sz w:val="23"/>
          <w:szCs w:val="23"/>
          <w:u w:val="single"/>
          <w:lang w:val="en-US" w:eastAsia="zh-CN"/>
        </w:rPr>
        <w:t xml:space="preserve">                                                          </w:t>
      </w:r>
    </w:p>
    <w:p>
      <w:pPr>
        <w:spacing w:before="75" w:line="231" w:lineRule="auto"/>
        <w:rPr>
          <w:rFonts w:hint="eastAsia" w:ascii="仿宋" w:hAnsi="仿宋" w:eastAsia="仿宋" w:cs="仿宋"/>
          <w:color w:val="auto"/>
          <w:spacing w:val="10"/>
          <w:sz w:val="23"/>
          <w:szCs w:val="23"/>
        </w:rPr>
      </w:pPr>
    </w:p>
    <w:p>
      <w:pPr>
        <w:spacing w:before="75" w:line="231" w:lineRule="auto"/>
        <w:rPr>
          <w:rFonts w:hint="eastAsia" w:ascii="仿宋" w:hAnsi="仿宋" w:eastAsia="仿宋" w:cs="仿宋"/>
          <w:color w:val="auto"/>
          <w:sz w:val="23"/>
          <w:szCs w:val="23"/>
          <w:u w:val="single"/>
          <w:lang w:val="en-US" w:eastAsia="zh-CN"/>
        </w:rPr>
      </w:pPr>
      <w:r>
        <w:rPr>
          <w:rFonts w:hint="eastAsia" w:ascii="仿宋" w:hAnsi="仿宋" w:eastAsia="仿宋" w:cs="仿宋"/>
          <w:color w:val="auto"/>
          <w:spacing w:val="5"/>
          <w:sz w:val="23"/>
          <w:szCs w:val="23"/>
        </w:rPr>
        <w:t>裁判员签字：</w:t>
      </w:r>
      <w:r>
        <w:rPr>
          <w:rFonts w:hint="eastAsia" w:ascii="仿宋" w:hAnsi="仿宋" w:eastAsia="仿宋" w:cs="仿宋"/>
          <w:color w:val="auto"/>
          <w:spacing w:val="5"/>
          <w:sz w:val="23"/>
          <w:szCs w:val="23"/>
          <w:u w:val="single"/>
          <w:lang w:val="en-US" w:eastAsia="zh-CN"/>
        </w:rPr>
        <w:t xml:space="preserve">                                                        </w:t>
      </w:r>
    </w:p>
    <w:p>
      <w:pPr>
        <w:spacing w:before="75" w:line="230" w:lineRule="auto"/>
        <w:rPr>
          <w:rFonts w:hint="eastAsia" w:ascii="仿宋" w:hAnsi="仿宋" w:eastAsia="仿宋" w:cs="仿宋"/>
          <w:color w:val="auto"/>
          <w:spacing w:val="7"/>
          <w:sz w:val="23"/>
          <w:szCs w:val="23"/>
        </w:rPr>
      </w:pPr>
    </w:p>
    <w:p>
      <w:pPr>
        <w:spacing w:before="75" w:line="360" w:lineRule="auto"/>
        <w:rPr>
          <w:rFonts w:hint="eastAsia" w:ascii="仿宋" w:hAnsi="仿宋" w:eastAsia="仿宋" w:cs="仿宋"/>
          <w:color w:val="auto"/>
          <w:sz w:val="24"/>
          <w:szCs w:val="24"/>
        </w:rPr>
      </w:pPr>
      <w:r>
        <w:rPr>
          <w:rFonts w:hint="eastAsia" w:ascii="仿宋" w:hAnsi="仿宋" w:eastAsia="仿宋" w:cs="仿宋"/>
          <w:color w:val="auto"/>
          <w:spacing w:val="7"/>
          <w:sz w:val="23"/>
          <w:szCs w:val="23"/>
        </w:rPr>
        <w:t>取消参赛资格原因：</w:t>
      </w:r>
      <w:r>
        <w:rPr>
          <w:rFonts w:hint="eastAsia" w:ascii="仿宋" w:hAnsi="仿宋" w:eastAsia="仿宋" w:cs="仿宋"/>
          <w:color w:val="auto"/>
          <w:spacing w:val="7"/>
          <w:sz w:val="23"/>
          <w:szCs w:val="23"/>
          <w:u w:val="single"/>
          <w:lang w:val="en-US" w:eastAsia="zh-CN"/>
        </w:rPr>
        <w:t xml:space="preserve">                                                  </w:t>
      </w:r>
      <w:r>
        <w:rPr>
          <w:rFonts w:hint="eastAsia" w:ascii="仿宋" w:hAnsi="仿宋" w:eastAsia="仿宋" w:cs="仿宋"/>
          <w:color w:val="auto"/>
          <w:spacing w:val="7"/>
          <w:sz w:val="24"/>
          <w:szCs w:val="24"/>
          <w:u w:val="single"/>
          <w:lang w:val="en-US" w:eastAsia="zh-CN"/>
        </w:rPr>
        <w:t xml:space="preserve">     </w:t>
      </w: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7" w:lineRule="auto"/>
      <w:outlineLvl w:val="0"/>
      <w:rPr>
        <w:rFonts w:hint="eastAsia" w:ascii="仿宋" w:hAnsi="仿宋" w:eastAsia="仿宋" w:cs="仿宋"/>
        <w:sz w:val="31"/>
        <w:szCs w:val="31"/>
        <w:lang w:val="en-US" w:eastAsia="zh-CN"/>
      </w:rPr>
    </w:pPr>
    <w:r>
      <w:rPr>
        <w:sz w:val="3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NmUxZjYyYTlkMjc3ZjhlMjAxNTRmOTg3MmY2YzUifQ=="/>
  </w:docVars>
  <w:rsids>
    <w:rsidRoot w:val="443D7FB0"/>
    <w:rsid w:val="00206758"/>
    <w:rsid w:val="005664C8"/>
    <w:rsid w:val="028440C8"/>
    <w:rsid w:val="03A77EE7"/>
    <w:rsid w:val="04B27A2A"/>
    <w:rsid w:val="083942DC"/>
    <w:rsid w:val="08F655F4"/>
    <w:rsid w:val="0A706108"/>
    <w:rsid w:val="0B242F40"/>
    <w:rsid w:val="0DD552DB"/>
    <w:rsid w:val="105C05BC"/>
    <w:rsid w:val="148559A0"/>
    <w:rsid w:val="180C6834"/>
    <w:rsid w:val="1C1551C5"/>
    <w:rsid w:val="1E57215B"/>
    <w:rsid w:val="22DD0200"/>
    <w:rsid w:val="25294EDE"/>
    <w:rsid w:val="2536704D"/>
    <w:rsid w:val="26B461B9"/>
    <w:rsid w:val="27383550"/>
    <w:rsid w:val="28C7612F"/>
    <w:rsid w:val="2BD30454"/>
    <w:rsid w:val="32800847"/>
    <w:rsid w:val="34D45228"/>
    <w:rsid w:val="3B8C57C0"/>
    <w:rsid w:val="3E2431AB"/>
    <w:rsid w:val="3ED57EC4"/>
    <w:rsid w:val="40DB376D"/>
    <w:rsid w:val="42355B16"/>
    <w:rsid w:val="443D7FB0"/>
    <w:rsid w:val="45BB7953"/>
    <w:rsid w:val="45C83899"/>
    <w:rsid w:val="4B46598C"/>
    <w:rsid w:val="4D3F59ED"/>
    <w:rsid w:val="52345D34"/>
    <w:rsid w:val="56995D14"/>
    <w:rsid w:val="59DA1865"/>
    <w:rsid w:val="5A5E1C56"/>
    <w:rsid w:val="5FAE144D"/>
    <w:rsid w:val="619B1CF2"/>
    <w:rsid w:val="643541D2"/>
    <w:rsid w:val="66420FB5"/>
    <w:rsid w:val="66D356C4"/>
    <w:rsid w:val="682E42D1"/>
    <w:rsid w:val="6AE334A6"/>
    <w:rsid w:val="6F8F7C58"/>
    <w:rsid w:val="729D4358"/>
    <w:rsid w:val="78682435"/>
    <w:rsid w:val="7AA85EBA"/>
    <w:rsid w:val="7C906673"/>
    <w:rsid w:val="7CB523FB"/>
    <w:rsid w:val="7D0376D1"/>
    <w:rsid w:val="7DF35796"/>
    <w:rsid w:val="7FC75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石墨文档正文"/>
    <w:qFormat/>
    <w:uiPriority w:val="0"/>
    <w:rPr>
      <w:rFonts w:ascii="微软雅黑" w:hAnsi="微软雅黑" w:eastAsia="微软雅黑" w:cs="微软雅黑"/>
      <w:sz w:val="22"/>
      <w:szCs w:val="22"/>
      <w:lang w:val="en-US" w:eastAsia="zh-CN"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3281</Words>
  <Characters>3643</Characters>
  <Lines>0</Lines>
  <Paragraphs>0</Paragraphs>
  <TotalTime>1</TotalTime>
  <ScaleCrop>false</ScaleCrop>
  <LinksUpToDate>false</LinksUpToDate>
  <CharactersWithSpaces>4128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2023-01-07T01:24:00Z</dcterms:created>
  <dc:creator>金锋一创智机器人教育</dc:creator>
  <cp:lastModifiedBy>Jack刘</cp:lastModifiedBy>
  <dcterms:modified xsi:type="dcterms:W3CDTF">2023-01-16T15:45:50Z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6D003AE1198844D982696078E8271850</vt:lpwstr>
  </property>
</Properties>
</file>