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56"/>
          <w:szCs w:val="96"/>
          <w:lang w:val="en-US" w:eastAsia="zh-CN" w:bidi="ar-SA"/>
        </w:rPr>
      </w:pPr>
      <w:bookmarkStart w:id="0" w:name="_bookmark1"/>
      <w:bookmarkEnd w:id="0"/>
      <w:r>
        <w:rPr>
          <w:rFonts w:hint="eastAsia" w:ascii="黑体" w:hAnsi="黑体" w:eastAsia="黑体" w:cs="黑体"/>
          <w:snapToGrid/>
          <w:color w:val="auto"/>
          <w:kern w:val="2"/>
          <w:sz w:val="56"/>
          <w:szCs w:val="96"/>
          <w:lang w:val="en-US" w:eastAsia="zh-CN" w:bidi="ar-SA"/>
        </w:rPr>
        <w:t>2024年“领航杯”</w:t>
      </w:r>
    </w:p>
    <w:p>
      <w:pPr>
        <w:spacing w:line="360" w:lineRule="auto"/>
        <w:jc w:val="center"/>
        <w:rPr>
          <w:rFonts w:hint="eastAsia" w:ascii="黑体" w:hAnsi="黑体" w:eastAsia="黑体" w:cs="黑体"/>
          <w:color w:val="auto"/>
          <w:sz w:val="56"/>
          <w:szCs w:val="96"/>
          <w:lang w:val="en-US" w:eastAsia="zh-CN"/>
        </w:rPr>
      </w:pPr>
      <w:r>
        <w:rPr>
          <w:rFonts w:hint="eastAsia" w:ascii="黑体" w:hAnsi="黑体" w:eastAsia="黑体" w:cs="黑体"/>
          <w:color w:val="auto"/>
          <w:sz w:val="56"/>
          <w:szCs w:val="96"/>
          <w:lang w:val="en-US" w:eastAsia="zh-CN"/>
        </w:rPr>
        <w:t>江苏省中小学生信息素养提升实践活动</w:t>
      </w:r>
    </w:p>
    <w:p>
      <w:pPr>
        <w:spacing w:line="360" w:lineRule="auto"/>
        <w:jc w:val="center"/>
        <w:rPr>
          <w:rFonts w:hint="eastAsia" w:ascii="黑体" w:hAnsi="黑体" w:eastAsia="黑体" w:cs="黑体"/>
          <w:color w:val="auto"/>
          <w:sz w:val="56"/>
          <w:szCs w:val="96"/>
          <w:lang w:val="en-US" w:eastAsia="zh-CN"/>
        </w:rPr>
      </w:pPr>
    </w:p>
    <w:p>
      <w:pPr>
        <w:spacing w:line="360" w:lineRule="auto"/>
        <w:jc w:val="center"/>
        <w:rPr>
          <w:rFonts w:hint="eastAsia" w:ascii="黑体" w:hAnsi="黑体" w:eastAsia="黑体" w:cs="黑体"/>
          <w:color w:val="auto"/>
          <w:sz w:val="48"/>
          <w:szCs w:val="56"/>
          <w:lang w:val="en-US" w:eastAsia="zh-CN"/>
        </w:rPr>
      </w:pPr>
      <w:r>
        <w:rPr>
          <w:rFonts w:hint="eastAsia" w:ascii="黑体" w:hAnsi="黑体" w:eastAsia="黑体" w:cs="黑体"/>
          <w:color w:val="auto"/>
          <w:sz w:val="48"/>
          <w:szCs w:val="56"/>
          <w:lang w:val="en-US" w:eastAsia="zh-CN"/>
        </w:rPr>
        <w:t>智能机器人——C类：可编程控制的</w:t>
      </w:r>
    </w:p>
    <w:p>
      <w:pPr>
        <w:jc w:val="center"/>
        <w:rPr>
          <w:rFonts w:hint="eastAsia" w:ascii="黑体" w:hAnsi="黑体" w:eastAsia="黑体" w:cs="黑体"/>
          <w:color w:val="auto"/>
          <w:sz w:val="48"/>
          <w:szCs w:val="56"/>
          <w:lang w:val="en-US" w:eastAsia="zh-CN"/>
        </w:rPr>
      </w:pPr>
      <w:r>
        <w:rPr>
          <w:rFonts w:hint="eastAsia" w:ascii="黑体" w:hAnsi="黑体" w:eastAsia="黑体" w:cs="黑体"/>
          <w:color w:val="auto"/>
          <w:sz w:val="48"/>
          <w:szCs w:val="56"/>
          <w:lang w:val="en-US" w:eastAsia="zh-CN"/>
        </w:rPr>
        <w:t>空中飞行器（飞行机器人）</w:t>
      </w:r>
    </w:p>
    <w:p>
      <w:pPr>
        <w:jc w:val="center"/>
        <w:rPr>
          <w:rFonts w:hint="eastAsia" w:ascii="黑体" w:hAnsi="黑体" w:eastAsia="黑体" w:cs="黑体"/>
          <w:color w:val="auto"/>
          <w:sz w:val="48"/>
          <w:szCs w:val="56"/>
          <w:lang w:val="en-US" w:eastAsia="zh-CN"/>
        </w:rPr>
      </w:pPr>
    </w:p>
    <w:p>
      <w:pPr>
        <w:jc w:val="center"/>
        <w:rPr>
          <w:rFonts w:hint="eastAsia" w:ascii="黑体" w:hAnsi="黑体" w:eastAsia="黑体" w:cs="黑体"/>
          <w:color w:val="auto"/>
          <w:sz w:val="48"/>
          <w:szCs w:val="56"/>
          <w:lang w:val="en-US" w:eastAsia="zh-CN"/>
        </w:rPr>
      </w:pP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bidi="zh-CN"/>
        </w:rPr>
      </w:pPr>
      <w:r>
        <w:rPr>
          <w:rFonts w:hint="eastAsia" w:ascii="黑体" w:hAnsi="黑体" w:eastAsia="黑体" w:cs="黑体"/>
          <w:snapToGrid w:val="0"/>
          <w:color w:val="auto"/>
          <w:kern w:val="0"/>
          <w:sz w:val="72"/>
          <w:szCs w:val="72"/>
          <w:lang w:val="en-US" w:eastAsia="zh-CN" w:bidi="zh-CN"/>
        </w:rPr>
        <w:t>规</w:t>
      </w: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bidi="zh-CN"/>
        </w:rPr>
      </w:pPr>
      <w:r>
        <w:rPr>
          <w:rFonts w:hint="eastAsia" w:ascii="黑体" w:hAnsi="黑体" w:eastAsia="黑体" w:cs="黑体"/>
          <w:snapToGrid w:val="0"/>
          <w:color w:val="auto"/>
          <w:kern w:val="0"/>
          <w:sz w:val="72"/>
          <w:szCs w:val="72"/>
          <w:lang w:val="en-US" w:eastAsia="zh-CN" w:bidi="zh-CN"/>
        </w:rPr>
        <w:t>则</w:t>
      </w: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bidi="zh-CN"/>
        </w:rPr>
      </w:pPr>
    </w:p>
    <w:p>
      <w:pPr>
        <w:widowControl/>
        <w:kinsoku w:val="0"/>
        <w:adjustRightInd w:val="0"/>
        <w:snapToGrid w:val="0"/>
        <w:spacing w:line="360" w:lineRule="auto"/>
        <w:jc w:val="center"/>
        <w:textAlignment w:val="baseline"/>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江苏省电化教育馆</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44"/>
          <w:szCs w:val="52"/>
          <w:lang w:val="en-US" w:eastAsia="zh-CN" w:bidi="ar-SA"/>
        </w:rPr>
        <w:sectPr>
          <w:footerReference r:id="rId5"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snapToGrid/>
          <w:color w:val="auto"/>
          <w:kern w:val="2"/>
          <w:sz w:val="44"/>
          <w:szCs w:val="52"/>
          <w:lang w:val="en-US" w:eastAsia="zh-CN" w:bidi="ar-SA"/>
        </w:rPr>
        <w:t>2023年12月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b/>
          <w:bCs/>
          <w:color w:val="auto"/>
          <w:sz w:val="36"/>
          <w:szCs w:val="36"/>
          <w:lang w:val="en-US" w:eastAsia="zh-CN" w:bidi="ar-SA"/>
        </w:rPr>
      </w:pPr>
      <w:r>
        <w:rPr>
          <w:rFonts w:hint="eastAsia" w:ascii="黑体" w:hAnsi="黑体" w:eastAsia="黑体" w:cs="黑体"/>
          <w:b/>
          <w:bCs/>
          <w:color w:val="auto"/>
          <w:sz w:val="36"/>
          <w:szCs w:val="36"/>
          <w:lang w:val="en-US" w:eastAsia="zh-CN" w:bidi="ar-SA"/>
        </w:rPr>
        <w:t>C类：可编程控制的空中飞行器（飞行机器人）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b/>
          <w:bCs/>
          <w:color w:val="auto"/>
          <w:sz w:val="36"/>
          <w:szCs w:val="36"/>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一、机器人界定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（一）飞行机器人硬件要求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1.利用成品飞行器适当加以改造或者自行设计制作的飞行器，提倡使用开源硬件和软件自行设计机器人。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2.飞行机器人旋翼数≤4个，飞行器在起飞区域内的尺寸上限均不超过300mm，整机重量≤250g，供电电压≤12V，使用空心杯电机，带保护罩，完全离开起飞区域后其尺寸不再受限。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搬运结构件：参赛队员自主设计搬运结构件，与无人飞行器机体的连接方式、位置由参赛队伍自行决定。结构件不计入无人飞行器机体尺寸，但不得改变无人飞行器的原始起飞和降落方式，并不得对无人飞行器的起飞和降落构成安全隐患(无人飞行器安装该结构件后，机体最高处垂直高度距停机坪地面距离都不能超过300mm，且放置在起飞区时不超出起降区边界)。在投入使用前必须交由场地裁判审验，经过裁判允许方可使用，如不符合要求，需要在正式比赛前进行整改直至通过裁判审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4.定位方式：能够使用诸如图像识别、UWB、蓝牙AOA 或其他各种技术手段来实现精准定位。现场允许使用引导飞行的二维码或其他标记物（方便放置且不会被无人机吹动，底部可用类似鼠标垫材质），可遮盖于地图上，但不得对他人比赛产生干扰、不能用胶粘在场地上。使用标记物的总数不超过10个，标记物尺寸上限为10cm×10cm。在场地内按如下方式放置：J点区域内、K、L、M平台上不得放置，同心圆底盘上不得放置，设别区内不得放置，起飞、降落区内不得放置。参赛选手在赛前自行布置，并配合裁判员测试检查，放定后一轮比赛中不能再移动位置。（注：每场比赛布置场地时间不超过2分钟，否则被视为放弃本场比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5.在不影响比赛的基础上，机器人可进行个性化的装饰， 以增强其表现力和辨识度。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（二）机器人软件要求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在PC或平板端使用的无人机编程软件，所有程序均需参赛队员自行在规定的调试时间内编写。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二、主题简介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考察参赛选手对编程无人飞行器的综合技术应用能力、编程思维能力、空间构造能力。激发同学们对编程技术、无人飞行器技术的兴趣，发掘同学们对新技术创新、探索、研究的能力。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飞行器应具备使用诸如图像识别、UWB 或其他各种技术手段实现精准定位、运送物品和进行空中测量（比如求地面物品的长度、面积、体积、数量等）的能力。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三、场地与环境</w:t>
      </w:r>
      <w:bookmarkStart w:id="1" w:name="3.1  场地构成"/>
      <w:bookmarkEnd w:id="1"/>
      <w:bookmarkStart w:id="2" w:name="3.1  场地构成"/>
      <w:bookmarkEnd w:id="2"/>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（一）场地构成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比赛场地为正方形，长宽尺寸是4000mm*4000mm。场地材质是喷绘布。为便于说明，俯视图中场地各区域添加了颜色与文字，实际场地图中各区域无色块填充与文字，如下图1、图2所示。</w:t>
      </w:r>
      <w:bookmarkStart w:id="3" w:name="3.2  赛场环境"/>
      <w:bookmarkEnd w:id="3"/>
      <w:bookmarkStart w:id="4" w:name="3.2  赛场环境"/>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2137410" cy="2137410"/>
            <wp:effectExtent l="0" t="0" r="15240" b="15240"/>
            <wp:docPr id="10" name="图片 10" descr="a72d2422408e24d34c9fbb57880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2d2422408e24d34c9fbb578804c50"/>
                    <pic:cNvPicPr>
                      <a:picLocks noChangeAspect="1"/>
                    </pic:cNvPicPr>
                  </pic:nvPicPr>
                  <pic:blipFill>
                    <a:blip r:embed="rId8"/>
                    <a:stretch>
                      <a:fillRect/>
                    </a:stretch>
                  </pic:blipFill>
                  <pic:spPr>
                    <a:xfrm>
                      <a:off x="0" y="0"/>
                      <a:ext cx="2137410" cy="2137410"/>
                    </a:xfrm>
                    <a:prstGeom prst="rect">
                      <a:avLst/>
                    </a:prstGeom>
                  </pic:spPr>
                </pic:pic>
              </a:graphicData>
            </a:graphic>
          </wp:inline>
        </w:drawing>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drawing>
          <wp:inline distT="0" distB="0" distL="114300" distR="114300">
            <wp:extent cx="2157730" cy="2157730"/>
            <wp:effectExtent l="0" t="0" r="13970" b="13970"/>
            <wp:docPr id="12" name="图片 12" descr="ebbe95e08d316b9da63752fcb1df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bbe95e08d316b9da63752fcb1df643"/>
                    <pic:cNvPicPr>
                      <a:picLocks noChangeAspect="1"/>
                    </pic:cNvPicPr>
                  </pic:nvPicPr>
                  <pic:blipFill>
                    <a:blip r:embed="rId9"/>
                    <a:stretch>
                      <a:fillRect/>
                    </a:stretch>
                  </pic:blipFill>
                  <pic:spPr>
                    <a:xfrm>
                      <a:off x="0" y="0"/>
                      <a:ext cx="2157730" cy="21577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图1场地示意图               图2 场地的俯视图及功能区示意图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（二）赛场环境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比赛场地环境光源以现场照明为准，活动场地无电扇或空调直吹风，活动场地上方净空高度不小于2.5米。由于一般赛场环境的不确定因素较多，如：场地纸不平整、有环境微风干扰、光照不均匀、比赛场地尺寸可能存在±2cm的误差等，参赛队在调试飞行器时必须给予充分考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（三）任务道具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货物：20mm的EVA材质立方体，上表面有引磁片，重量≤10克，有红色（参考色值为C0 M100 Y100 K0）、绿色（参考色值为C80 M0 Y100 K0）、蓝色（参考色值为C90 M90 Y0 K0）、黄色（参考色值为C0 M0 Y100 K0）各一个，黄色须放置在J点区域中心，红色、绿色、蓝色货物须完全在平台上放置。在整个比赛过程中不允许带回起飞、降落区。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4" w:line="360" w:lineRule="auto"/>
        <w:jc w:val="center"/>
        <w:textAlignment w:val="baseline"/>
        <w:outlineLvl w:val="1"/>
        <w:rPr>
          <w:rFonts w:hint="eastAsia" w:ascii="仿宋_GB2312" w:hAnsi="仿宋_GB2312" w:eastAsia="仿宋_GB2312" w:cs="仿宋_GB2312"/>
          <w:snapToGrid w:val="0"/>
          <w:color w:val="auto"/>
          <w:spacing w:val="16"/>
          <w:kern w:val="0"/>
          <w:sz w:val="24"/>
          <w:szCs w:val="24"/>
          <w:lang w:val="en-US" w:eastAsia="zh-CN"/>
        </w:rPr>
      </w:pP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2143125" cy="1507490"/>
            <wp:effectExtent l="0" t="0" r="9525" b="16510"/>
            <wp:docPr id="5" name="图片 5" descr="1109483d5a9c96fdf18aef7a796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09483d5a9c96fdf18aef7a7960699"/>
                    <pic:cNvPicPr>
                      <a:picLocks noChangeAspect="1"/>
                    </pic:cNvPicPr>
                  </pic:nvPicPr>
                  <pic:blipFill>
                    <a:blip r:embed="rId10"/>
                    <a:stretch>
                      <a:fillRect/>
                    </a:stretch>
                  </pic:blipFill>
                  <pic:spPr>
                    <a:xfrm>
                      <a:off x="0" y="0"/>
                      <a:ext cx="2143125" cy="150749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图3 货物示意图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（四）场地道具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1.竖杆：高度约 1500mm 的竖杆，该杆竖直放置，与地面垂直。无人飞行器须绕竖杆作水平360度以上绕行，绕行时高度和方向均不作要求，但不能越过场地边线。绕行开始、结束须有明显停顿。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2.圆环：内径为500mm的圆圈，圆圈竖直放置与地面垂直，圆圈中心离地高度800mm。无人飞行器须穿越圆圈，穿越的方向不作要求。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3.连续圆环：3个内径为500mm、550mm、600mm的圆圈组合（小、初、高各组别不一样），圆圈竖直放置与地面垂直，圆圈中心离地高度1200mm。无人飞行器须依次连续穿越各组别要求所有圆圈，穿越的方向均不作要求。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4.运送物品平台：直径约为 300mm,高度为300mm、600mm、900mm平台各一个。</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5.同心圆底盘：以I点为圆心摆放3个直径分别为15cm、30cm、45cm，高度为3cm的同心圆底盘。</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20" w:firstLineChars="200"/>
        <w:jc w:val="center"/>
        <w:textAlignment w:val="baseline"/>
        <w:outlineLvl w:val="1"/>
        <w:rPr>
          <w:szCs w:val="21"/>
        </w:rPr>
      </w:pP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544" w:firstLineChars="200"/>
        <w:jc w:val="center"/>
        <w:textAlignment w:val="baseline"/>
        <w:outlineLvl w:val="1"/>
        <w:rPr>
          <w:rFonts w:hint="eastAsia" w:ascii="仿宋_GB2312" w:hAnsi="仿宋_GB2312" w:eastAsia="仿宋_GB2312" w:cs="仿宋_GB2312"/>
          <w:snapToGrid w:val="0"/>
          <w:color w:val="auto"/>
          <w:spacing w:val="16"/>
          <w:kern w:val="0"/>
          <w:sz w:val="24"/>
          <w:szCs w:val="24"/>
          <w:lang w:val="en-US" w:eastAsia="zh-CN"/>
        </w:rPr>
      </w:pP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325245" cy="1619885"/>
            <wp:effectExtent l="0" t="0" r="8255" b="18415"/>
            <wp:docPr id="14" name="图片 14" descr="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g"/>
                    <pic:cNvPicPr>
                      <a:picLocks noChangeAspect="1"/>
                    </pic:cNvPicPr>
                  </pic:nvPicPr>
                  <pic:blipFill>
                    <a:blip r:embed="rId11"/>
                    <a:stretch>
                      <a:fillRect/>
                    </a:stretch>
                  </pic:blipFill>
                  <pic:spPr>
                    <a:xfrm>
                      <a:off x="0" y="0"/>
                      <a:ext cx="1325245" cy="1619885"/>
                    </a:xfrm>
                    <a:prstGeom prst="rect">
                      <a:avLst/>
                    </a:prstGeom>
                  </pic:spPr>
                </pic:pic>
              </a:graphicData>
            </a:graphic>
          </wp:inline>
        </w:drawing>
      </w: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468120" cy="1642745"/>
            <wp:effectExtent l="0" t="0" r="17780" b="14605"/>
            <wp:docPr id="1" name="图片 1" descr="圆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圆环"/>
                    <pic:cNvPicPr>
                      <a:picLocks noChangeAspect="1"/>
                    </pic:cNvPicPr>
                  </pic:nvPicPr>
                  <pic:blipFill>
                    <a:blip r:embed="rId12"/>
                    <a:stretch>
                      <a:fillRect/>
                    </a:stretch>
                  </pic:blipFill>
                  <pic:spPr>
                    <a:xfrm>
                      <a:off x="0" y="0"/>
                      <a:ext cx="1468120" cy="164274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964" w:firstLineChars="400"/>
        <w:jc w:val="both"/>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 xml:space="preserve">                 竖杆                  圆环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403" w:firstLine="0" w:firstLineChars="0"/>
        <w:jc w:val="both"/>
        <w:textAlignment w:val="baseline"/>
        <w:rPr>
          <w:rFonts w:hint="eastAsia" w:ascii="仿宋_GB2312" w:hAnsi="仿宋_GB2312" w:eastAsia="仿宋_GB2312" w:cs="仿宋_GB2312"/>
          <w:snapToGrid w:val="0"/>
          <w:color w:val="auto"/>
          <w:spacing w:val="16"/>
          <w:kern w:val="0"/>
          <w:sz w:val="8"/>
          <w:szCs w:val="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图4 场地道具示意图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四、任务描述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整个任务由常规任务和挑战任务两部分组成。飞行机器人的飞行动作必须由程序控制自主完成，在执行任务过程中如果动用遥控设备来操作则视为任务失败。常规任务完成参赛选手须举手示意裁判员，挑战任务不分先后完成顺序。</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（一）小学组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1.常规任务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无人飞行器从起飞区起飞，起飞后离地高度50cm以上，悬停3秒。完成得5分，仅计一次得分，不重复计分。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无人飞行器穿越单圆环（内径500mm）、绕飞竖杆，穿越三个连续环（三个环内径都为600mm）。穿越单圆环（内径500mm）成功得10分、绕飞竖杆成功得10分、连续圆环穿越成功得30分。仅计一次得分，不重复计分。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无人飞行器从A点出发连续沿线AC、弧线CE、EA巡线飞行。巡线过程中无人飞行器垂直投影不能脱离线，成功得15分。仅计一次得分，不重复计分。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sz w:val="32"/>
          <w:szCs w:val="32"/>
          <w:lang w:val="en-US" w:eastAsia="zh-CN" w:bidi="ar-SA"/>
        </w:rPr>
        <w:t>将J点区域的黄色立方体运送到同心圆底盘内，在货物的移动过程中，货物必须离开地面，在运送到同心圆底盘内前的飞行过</w:t>
      </w:r>
      <w:r>
        <w:rPr>
          <w:rFonts w:hint="eastAsia" w:ascii="仿宋_GB2312" w:hAnsi="仿宋_GB2312" w:eastAsia="仿宋_GB2312" w:cs="仿宋_GB2312"/>
          <w:sz w:val="32"/>
          <w:szCs w:val="32"/>
          <w:lang w:val="zh-CN" w:eastAsia="zh-CN" w:bidi="ar-SA"/>
        </w:rPr>
        <w:t>程中</w:t>
      </w:r>
      <w:r>
        <w:rPr>
          <w:rFonts w:hint="eastAsia" w:ascii="仿宋_GB2312" w:hAnsi="仿宋_GB2312" w:eastAsia="仿宋_GB2312" w:cs="仿宋_GB2312"/>
          <w:sz w:val="32"/>
          <w:szCs w:val="32"/>
          <w:lang w:val="en-US" w:eastAsia="zh-CN" w:bidi="ar-SA"/>
        </w:rPr>
        <w:t>货物不得</w:t>
      </w:r>
      <w:r>
        <w:rPr>
          <w:rFonts w:hint="eastAsia" w:ascii="仿宋_GB2312" w:hAnsi="仿宋_GB2312" w:eastAsia="仿宋_GB2312" w:cs="仿宋_GB2312"/>
          <w:sz w:val="32"/>
          <w:szCs w:val="32"/>
          <w:lang w:val="zh-CN" w:eastAsia="zh-CN" w:bidi="ar-SA"/>
        </w:rPr>
        <w:t>接触地面或脱落。</w:t>
      </w:r>
      <w:r>
        <w:rPr>
          <w:rFonts w:hint="eastAsia" w:ascii="仿宋_GB2312" w:hAnsi="仿宋_GB2312" w:eastAsia="仿宋_GB2312" w:cs="仿宋_GB2312"/>
          <w:sz w:val="32"/>
          <w:szCs w:val="32"/>
          <w:lang w:val="en-US" w:eastAsia="zh-CN" w:bidi="ar-SA"/>
        </w:rPr>
        <w:t>黄色货物在直径为15cm、30cm、45cm的同心圆底盘中，得分分别为20分、15分、10分。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把K、L、M平台上指定的一个货物运送到同心圆底盘内。调试前抽签决定K、L、M平台的高度以及要运送的一个货物颜色，调试结束后抽签决定三个货物摆放位置。无人飞行器正确识别指定货物并点亮对应颜色指示灯5秒（显示须明显让裁判员看清）得10分；把指定货物带离所在平台（挂载装置必须接触货物才有效）得15分；把指定货物投入同心圆底盘中得15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J区域、K、L、M平台上的货物运送结束，对运送任务结果的拍摄，拍摄结果可查看，照片要包含J区域、K、L、M平台以及同心圆底盘。货物运送结果照片可在电脑上查看得20分。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无人飞行器在常规任务结束前自主在降落区域内降落（完全在降落区内），成功得5分。</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2.挑战任务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无人飞行器从起飞区起飞后，完成挑战任务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一：在物体设别区一放有一物体（俯视图呈长方形、圆形、三角形、），调试结束后抽签决定，在常规任务结束后立即由裁判员放置在识别区。无人飞行器在识别区上方自动测量摆放在识别区中指定物品的体积，在电脑屏幕上展示测量结果，误差在10%以内得50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二：在物体识别区二放有一定数量的相同物体（俯视图呈长方形、圆形、三角形），调试结束后抽签决定物体形状以及数量，在常规任务结束后立即由裁判员放置在识别区。无人飞行器在识别区上方自动测量摆放在识别区中指定物品的数量，在电脑屏幕上展示测量结果，正确展示所测量设别物体数量，得50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drawing>
          <wp:inline distT="0" distB="0" distL="114300" distR="114300">
            <wp:extent cx="5266690" cy="2441575"/>
            <wp:effectExtent l="0" t="0" r="10160" b="15875"/>
            <wp:docPr id="7" name="图片 7" descr="a338d666cac5d94994db9ac4fa47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338d666cac5d94994db9ac4fa47c0d"/>
                    <pic:cNvPicPr>
                      <a:picLocks noChangeAspect="1"/>
                    </pic:cNvPicPr>
                  </pic:nvPicPr>
                  <pic:blipFill>
                    <a:blip r:embed="rId13"/>
                    <a:stretch>
                      <a:fillRect/>
                    </a:stretch>
                  </pic:blipFill>
                  <pic:spPr>
                    <a:xfrm>
                      <a:off x="0" y="0"/>
                      <a:ext cx="5266690" cy="24415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723" w:firstLineChars="300"/>
        <w:jc w:val="center"/>
        <w:textAlignment w:val="baseline"/>
        <w:outlineLvl w:val="1"/>
        <w:rPr>
          <w:rFonts w:hint="default" w:ascii="仿宋" w:hAnsi="仿宋" w:eastAsia="仿宋" w:cs="仿宋"/>
          <w:b/>
          <w:bCs/>
          <w:snapToGrid w:val="0"/>
          <w:color w:val="auto"/>
          <w:kern w:val="0"/>
          <w:sz w:val="24"/>
          <w:szCs w:val="24"/>
          <w:lang w:val="en-US" w:eastAsia="zh-CN"/>
        </w:rPr>
      </w:pPr>
      <w:r>
        <w:rPr>
          <w:rFonts w:hint="eastAsia" w:ascii="仿宋" w:hAnsi="仿宋" w:eastAsia="仿宋" w:cs="仿宋"/>
          <w:b/>
          <w:bCs/>
          <w:color w:val="auto"/>
          <w:sz w:val="24"/>
          <w:szCs w:val="24"/>
          <w:lang w:val="en-US" w:eastAsia="zh-CN"/>
        </w:rPr>
        <w:t xml:space="preserve">图5 </w:t>
      </w:r>
      <w:r>
        <w:rPr>
          <w:rFonts w:hint="eastAsia" w:ascii="仿宋" w:hAnsi="仿宋" w:eastAsia="仿宋" w:cs="仿宋"/>
          <w:b/>
          <w:bCs/>
          <w:snapToGrid w:val="0"/>
          <w:color w:val="auto"/>
          <w:kern w:val="0"/>
          <w:sz w:val="24"/>
          <w:szCs w:val="24"/>
          <w:lang w:val="en-US" w:eastAsia="zh-CN"/>
        </w:rPr>
        <w:t>小学组任务示意图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（二）初中组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1.常规任务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无人飞行器从起飞区起飞，起飞后离地高度50cm以上，悬停3秒。完成得5分，仅计一次得分，不重复计分。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穿越单圆环（内径500mm）、绕飞竖杆，穿越三个连续环（三个环内径依次为550mm、600mm、550mm）。穿越单圆环（内径500mm）成功得10分、绕飞竖杆成功得10分、连续圆环穿越成功得30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无人飞行器从A点出发连续沿线AC、弧线CE、EA巡线飞行。巡线过程中无人飞行器垂直投影不能脱离线，成功得15分。仅计一次得分，不重复计分。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sz w:val="32"/>
          <w:szCs w:val="32"/>
          <w:lang w:val="en-US" w:eastAsia="zh-CN" w:bidi="ar-SA"/>
        </w:rPr>
        <w:t>将J点区域的黄色立方体运送到同心圆底盘内，在货物的移动过程中，货物必须离开地面，在运送到同心圆底盘内前的飞行过</w:t>
      </w:r>
      <w:r>
        <w:rPr>
          <w:rFonts w:hint="eastAsia" w:ascii="仿宋_GB2312" w:hAnsi="仿宋_GB2312" w:eastAsia="仿宋_GB2312" w:cs="仿宋_GB2312"/>
          <w:sz w:val="32"/>
          <w:szCs w:val="32"/>
          <w:lang w:val="zh-CN" w:eastAsia="zh-CN" w:bidi="ar-SA"/>
        </w:rPr>
        <w:t>程中</w:t>
      </w:r>
      <w:r>
        <w:rPr>
          <w:rFonts w:hint="eastAsia" w:ascii="仿宋_GB2312" w:hAnsi="仿宋_GB2312" w:eastAsia="仿宋_GB2312" w:cs="仿宋_GB2312"/>
          <w:sz w:val="32"/>
          <w:szCs w:val="32"/>
          <w:lang w:val="en-US" w:eastAsia="zh-CN" w:bidi="ar-SA"/>
        </w:rPr>
        <w:t>货物不得</w:t>
      </w:r>
      <w:r>
        <w:rPr>
          <w:rFonts w:hint="eastAsia" w:ascii="仿宋_GB2312" w:hAnsi="仿宋_GB2312" w:eastAsia="仿宋_GB2312" w:cs="仿宋_GB2312"/>
          <w:sz w:val="32"/>
          <w:szCs w:val="32"/>
          <w:lang w:val="zh-CN" w:eastAsia="zh-CN" w:bidi="ar-SA"/>
        </w:rPr>
        <w:t>接触地面或脱落。</w:t>
      </w:r>
      <w:r>
        <w:rPr>
          <w:rFonts w:hint="eastAsia" w:ascii="仿宋_GB2312" w:hAnsi="仿宋_GB2312" w:eastAsia="仿宋_GB2312" w:cs="仿宋_GB2312"/>
          <w:sz w:val="32"/>
          <w:szCs w:val="32"/>
          <w:lang w:val="en-US" w:eastAsia="zh-CN" w:bidi="ar-SA"/>
        </w:rPr>
        <w:t>黄色货物在直径为15cm、30cm、45cm的同心圆底盘中，得分分别为20分、15分、10分。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把K、L、M平台上指定的二个货物运送到同心圆底盘内。调试前抽签决定K、L、M平台的高度以及要运送的二个货物颜色，调试结束后抽签决定三个货物摆放位置。无人飞行器每正确识别一个指定货物并点亮对应颜色指示灯5秒（显示须明显让裁判员看清）得10分；把每一个指定货物带离所在平台（挂载装置必须接触货物才有效）得15分；把每一个指定货物运送到同心圆底盘中得15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J区域、K、L、M平台上的货物运送结束，对运送任务结果的拍摄，拍摄结果可查看，照片要包含J区域、K、L、M平台以及同心圆底盘。货物运送结果照片可在电脑上查看得20分。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无人飞行器在常规任务结束前自主在降落区域内降落（完全在降落区内），成功得5分。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2.挑战任务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无人飞行器从起飞区起飞后，完成挑战任务。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一：在物体设别区一放有一物体（俯视图呈长方形、圆形、三角形、），调试结束后抽签决定，在常规任务结束后立即由裁判员放置在识别区。无人飞行器在识别区上方自动测量摆放在识别区中指定物品的体积，在电脑屏幕上展示测量结果，误差在10%以内得50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二：在物体识别区二放有一定数量的相同物体（俯视图呈长方形、圆形、三角形），调试结束后抽签决定物体形状以及数量，在常规任务结束后立即由裁判员放置在识别区。无人飞行器在识别区上方自动测量摆放在识别区中指定物品的数量，在电脑屏幕上展示测量结果，正确展示所测量设别物体数量，得50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drawing>
          <wp:inline distT="0" distB="0" distL="114300" distR="114300">
            <wp:extent cx="5540375" cy="2568575"/>
            <wp:effectExtent l="0" t="0" r="3175" b="3175"/>
            <wp:docPr id="2" name="图片 2" descr="a338d666cac5d94994db9ac4fa47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38d666cac5d94994db9ac4fa47c0d"/>
                    <pic:cNvPicPr>
                      <a:picLocks noChangeAspect="1"/>
                    </pic:cNvPicPr>
                  </pic:nvPicPr>
                  <pic:blipFill>
                    <a:blip r:embed="rId13"/>
                    <a:stretch>
                      <a:fillRect/>
                    </a:stretch>
                  </pic:blipFill>
                  <pic:spPr>
                    <a:xfrm>
                      <a:off x="0" y="0"/>
                      <a:ext cx="5540375" cy="25685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center"/>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color w:val="auto"/>
          <w:sz w:val="24"/>
          <w:szCs w:val="24"/>
          <w:lang w:val="en-US" w:eastAsia="zh-CN"/>
        </w:rPr>
        <w:t xml:space="preserve">图6 </w:t>
      </w:r>
      <w:r>
        <w:rPr>
          <w:rFonts w:hint="eastAsia" w:ascii="仿宋" w:hAnsi="仿宋" w:eastAsia="仿宋" w:cs="仿宋"/>
          <w:b/>
          <w:bCs/>
          <w:snapToGrid w:val="0"/>
          <w:color w:val="auto"/>
          <w:kern w:val="0"/>
          <w:sz w:val="24"/>
          <w:szCs w:val="24"/>
          <w:lang w:val="en-US" w:eastAsia="zh-CN"/>
        </w:rPr>
        <w:t>初中组任务示意图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（三）高中组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1.常规任务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无人飞行器从起飞区起飞，起飞后离地高度50cm以上，悬停3秒。完成得5分，仅计一次得分，不重复计分。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穿越单圆环（内径500mm）、绕飞竖杆，穿越三个连续环（从G点到E点三个环内径依次为500mm、550mm、600mm）。穿越单圆环（内径500mm）成功得10分、绕飞竖杆成功得10分、连续圆环穿越成功得30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无人飞行器从A点出发连续沿线AC、弧线CE、EA巡线飞行。巡线过程中无人飞行器垂直投影不能脱离线，成功得15分。仅计一次得分，不重复计分。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sz w:val="32"/>
          <w:szCs w:val="32"/>
          <w:lang w:val="en-US" w:eastAsia="zh-CN" w:bidi="ar-SA"/>
        </w:rPr>
        <w:t>将J点区域的黄色立方体运送到同心圆底盘内，在货物的移动过程中，货物必须离开地面，在运送到同心圆底盘内前的飞行过</w:t>
      </w:r>
      <w:r>
        <w:rPr>
          <w:rFonts w:hint="eastAsia" w:ascii="仿宋_GB2312" w:hAnsi="仿宋_GB2312" w:eastAsia="仿宋_GB2312" w:cs="仿宋_GB2312"/>
          <w:sz w:val="32"/>
          <w:szCs w:val="32"/>
          <w:lang w:val="zh-CN" w:eastAsia="zh-CN" w:bidi="ar-SA"/>
        </w:rPr>
        <w:t>程中</w:t>
      </w:r>
      <w:r>
        <w:rPr>
          <w:rFonts w:hint="eastAsia" w:ascii="仿宋_GB2312" w:hAnsi="仿宋_GB2312" w:eastAsia="仿宋_GB2312" w:cs="仿宋_GB2312"/>
          <w:sz w:val="32"/>
          <w:szCs w:val="32"/>
          <w:lang w:val="en-US" w:eastAsia="zh-CN" w:bidi="ar-SA"/>
        </w:rPr>
        <w:t>货物不得</w:t>
      </w:r>
      <w:r>
        <w:rPr>
          <w:rFonts w:hint="eastAsia" w:ascii="仿宋_GB2312" w:hAnsi="仿宋_GB2312" w:eastAsia="仿宋_GB2312" w:cs="仿宋_GB2312"/>
          <w:sz w:val="32"/>
          <w:szCs w:val="32"/>
          <w:lang w:val="zh-CN" w:eastAsia="zh-CN" w:bidi="ar-SA"/>
        </w:rPr>
        <w:t>接触地面或脱落。</w:t>
      </w:r>
      <w:r>
        <w:rPr>
          <w:rFonts w:hint="eastAsia" w:ascii="仿宋_GB2312" w:hAnsi="仿宋_GB2312" w:eastAsia="仿宋_GB2312" w:cs="仿宋_GB2312"/>
          <w:sz w:val="32"/>
          <w:szCs w:val="32"/>
          <w:lang w:val="en-US" w:eastAsia="zh-CN" w:bidi="ar-SA"/>
        </w:rPr>
        <w:t>黄色货物在直径为15cm、30cm、45cm的同心圆底盘中，得分分别为20分、15分、10分。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把K、L、M平台上三个货物运送到同心圆底盘内。调试前抽签决定K、L、M平台的高度，调试结束后抽签决定三个货物摆放位置。无人飞行器每正确识别一个指定货物并点亮对应颜色指示灯5秒（显示须明显让裁判员看清）得10分；把每一个指定货物带离所在平台（挂载装置必须接触货物才有效）得15分；把每一个指定货物运送到同心圆底盘中得15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J区域、K、L、M平台上的货物运送结束，对运送任务结果的拍摄，拍摄结果可查看，照片要包含J区域、K、L、M平台以及同心圆底盘。货物运送结果照片可在电脑上查看得20分。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无人飞行器在常规任务结束前自主在降落区域内降落（完全在降落区内），成功得5分。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2.挑战任务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无人飞行器从起飞区起飞后，完成挑战任务。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一：在物体设别区放有一物体（俯视图呈长方形、圆形、三角形、不规则图形），调试结束后抽签决定，在常规任务结束后立即由裁判员放置在识别区。无人飞行器在识别区上方自动测量摆放在识别区中指定物品的体积，在电脑屏幕上展示测量结果，误差在10%以内得50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挑战任务二：在物体识别区二放有一定数量的相同物体（俯视图呈长方形、圆形、三角形、不规则图形），调试结束后抽签决定物体形状以及数量，在常规任务结束后立即由裁判员放置在识别区。无人飞行器在识别区上方自动测量摆放在识别区中指定物品的数量，在电脑屏幕上展示测量结果，正确展示所测量设别物体数量，得50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drawing>
          <wp:inline distT="0" distB="0" distL="114300" distR="114300">
            <wp:extent cx="5540375" cy="2568575"/>
            <wp:effectExtent l="0" t="0" r="3175" b="3175"/>
            <wp:docPr id="3" name="图片 3" descr="a338d666cac5d94994db9ac4fa47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38d666cac5d94994db9ac4fa47c0d"/>
                    <pic:cNvPicPr>
                      <a:picLocks noChangeAspect="1"/>
                    </pic:cNvPicPr>
                  </pic:nvPicPr>
                  <pic:blipFill>
                    <a:blip r:embed="rId13"/>
                    <a:stretch>
                      <a:fillRect/>
                    </a:stretch>
                  </pic:blipFill>
                  <pic:spPr>
                    <a:xfrm>
                      <a:off x="0" y="0"/>
                      <a:ext cx="5540375" cy="25685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center"/>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color w:val="auto"/>
          <w:sz w:val="24"/>
          <w:szCs w:val="24"/>
          <w:lang w:val="en-US" w:eastAsia="zh-CN"/>
        </w:rPr>
        <w:t xml:space="preserve">图7 </w:t>
      </w:r>
      <w:r>
        <w:rPr>
          <w:rFonts w:hint="eastAsia" w:ascii="仿宋" w:hAnsi="仿宋" w:eastAsia="仿宋" w:cs="仿宋"/>
          <w:b/>
          <w:bCs/>
          <w:snapToGrid w:val="0"/>
          <w:color w:val="auto"/>
          <w:kern w:val="0"/>
          <w:sz w:val="24"/>
          <w:szCs w:val="24"/>
          <w:lang w:val="en-US" w:eastAsia="zh-CN"/>
        </w:rPr>
        <w:t>高中组任务示意图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五、比赛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（一）赛程与赛制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1.赛程分三个阶段，编程与调试阶段、机器人封存阶段、竞赛阶段。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2.比赛采用大循环赛制，共两轮，最终取两轮总成绩之和排名。如果出现局部并列排名的情况，按如下顺序决定先后：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（1）所有场次用时总和少的队在前。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（2）所有场次中单轮分值高的队在前。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（3）最高分值的单轮用时少的在前。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3.编程与调试阶段：总时长90分钟，参赛选手自己编写程序并调试无人飞行器。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4.机器人封存阶段：编程与调试结束后，参赛选手由裁判员协助在无人飞行器以及编程设备醒目处张贴队伍编号后，将其统一封存。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竞赛阶段：比赛时长为300秒。先完成常规任务，挑战任务不分先后。参赛队确认准备好后须举手示意，裁判员发出指令后，选手方可运行无人飞行器程序。在裁判员发出指令前运行无人飞行器程序将受到警告或犯规处罚。无人飞行器一旦离开起飞区，选手不能再触碰无人飞行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检录与抽签：参赛队检录后，编程与调试阶段前，裁判进行抽签流程：调试前抽签决定K、L、M平台的高度、小学组抽出一个货物颜色、初中组抽出两个货物的颜色。机器人封存后，裁判进行抽签流程：抽出三个货物的摆放位置、设别区一放置的识别物、设别区二放置的识别物以及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（二）编程、调试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1.本次活动无人飞行器不需要现场搭建。队员不得携带U盘、光盘、无线路由器、手机、相机等存储和通信器材。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2.所有的无人飞行器程序必须现场编写并写入飞行器，再进行现场调试。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（三）比赛结束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1.飞行器坠毁或经裁判现场判断失去安全飞行能力。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2.飞行器完全飞出场地图。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3.重启次数超过五次。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4.选手主动向当值裁判申请退出比赛。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5.比赛时间结束。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（四）犯规与取消比赛资格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1.经过催促仍未及时到达比赛场地的参赛队将取消其本轮比赛资格。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2.赛前准备场地时间超过1分钟，飞行器仍未起飞的， 取消其本轮比赛资格。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3.言行干扰他人正常比赛,严重危害飞行安全的取消其比赛资格。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4.飞行器桨叶未加装保护罩的取消其比赛资格。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5.参赛选手没有正确佩戴护目镜的取消其比赛资格。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6.参赛队员不听从裁判员的指令将被取消比赛资格。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7.参赛队员第一次误启动将受到裁判员警告，第二次误启动将按本轮比赛弃权处理。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8.参赛队员在未经裁判长允许的情况下，在赛场内擅自与教练员或家长联系，将被立即取消比赛资格。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9.在裁判长的酌定下，反复犯规和被取消比赛资格的某一参赛队可能被禁止参加所有后续场次的比赛。</w:t>
      </w: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p>
    <w:p>
      <w:pPr>
        <w:bidi w:val="0"/>
        <w:jc w:val="both"/>
        <w:rPr>
          <w:rFonts w:hint="eastAsia" w:ascii="黑体" w:hAnsi="黑体" w:eastAsia="黑体" w:cs="黑体"/>
          <w:color w:val="auto"/>
          <w:sz w:val="32"/>
          <w:szCs w:val="32"/>
        </w:rPr>
      </w:pPr>
      <w:bookmarkStart w:id="5" w:name="_GoBack"/>
      <w:bookmarkEnd w:id="5"/>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C类：可编程控制的空中飞行器(飞行机器人)</w:t>
      </w: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竞赛记分表</w:t>
      </w:r>
    </w:p>
    <w:p>
      <w:pPr>
        <w:spacing w:before="75" w:line="228" w:lineRule="auto"/>
        <w:ind w:firstLine="1150" w:firstLineChars="500"/>
        <w:jc w:val="both"/>
        <w:rPr>
          <w:rFonts w:hint="eastAsia" w:ascii="仿宋" w:hAnsi="仿宋" w:eastAsia="仿宋" w:cs="仿宋"/>
          <w:color w:val="auto"/>
          <w:sz w:val="23"/>
          <w:szCs w:val="23"/>
          <w:u w:val="single"/>
          <w:lang w:val="en-US" w:eastAsia="zh-CN"/>
        </w:rPr>
      </w:pPr>
      <w:r>
        <w:rPr>
          <w:rFonts w:hint="eastAsia" w:ascii="仿宋" w:hAnsi="仿宋" w:eastAsia="仿宋" w:cs="仿宋"/>
          <w:color w:val="auto"/>
          <w:sz w:val="23"/>
          <w:szCs w:val="23"/>
          <w:lang w:val="en-US" w:eastAsia="zh-CN"/>
        </w:rPr>
        <w:t>组别：</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参赛学校</w:t>
      </w:r>
      <w:r>
        <w:rPr>
          <w:rFonts w:hint="eastAsia" w:ascii="仿宋" w:hAnsi="仿宋" w:eastAsia="仿宋" w:cs="仿宋"/>
          <w:color w:val="auto"/>
          <w:sz w:val="23"/>
          <w:szCs w:val="23"/>
          <w:u w:val="none"/>
          <w:lang w:val="en-US" w:eastAsia="zh-CN"/>
        </w:rPr>
        <w:t xml:space="preserve"> ：</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队伍编号</w:t>
      </w:r>
      <w:r>
        <w:rPr>
          <w:rFonts w:hint="eastAsia" w:ascii="仿宋" w:hAnsi="仿宋" w:eastAsia="仿宋" w:cs="仿宋"/>
          <w:color w:val="auto"/>
          <w:sz w:val="23"/>
          <w:szCs w:val="23"/>
          <w:u w:val="none"/>
          <w:lang w:val="en-US" w:eastAsia="zh-CN"/>
        </w:rPr>
        <w:t>：</w:t>
      </w:r>
      <w:r>
        <w:rPr>
          <w:rFonts w:hint="eastAsia" w:ascii="仿宋" w:hAnsi="仿宋" w:eastAsia="仿宋" w:cs="仿宋"/>
          <w:color w:val="auto"/>
          <w:sz w:val="23"/>
          <w:szCs w:val="23"/>
          <w:u w:val="single"/>
          <w:lang w:val="en-US" w:eastAsia="zh-CN"/>
        </w:rPr>
        <w:t xml:space="preserve">           </w:t>
      </w:r>
    </w:p>
    <w:tbl>
      <w:tblPr>
        <w:tblStyle w:val="9"/>
        <w:tblpPr w:leftFromText="180" w:rightFromText="180" w:vertAnchor="text" w:horzAnchor="page" w:tblpX="1586" w:tblpY="85"/>
        <w:tblOverlap w:val="never"/>
        <w:tblW w:w="89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6"/>
        <w:gridCol w:w="3000"/>
        <w:gridCol w:w="630"/>
        <w:gridCol w:w="1245"/>
        <w:gridCol w:w="900"/>
        <w:gridCol w:w="1200"/>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86"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评分类别</w:t>
            </w:r>
          </w:p>
        </w:tc>
        <w:tc>
          <w:tcPr>
            <w:tcW w:w="30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评分项目</w:t>
            </w:r>
          </w:p>
        </w:tc>
        <w:tc>
          <w:tcPr>
            <w:tcW w:w="63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计分</w:t>
            </w:r>
          </w:p>
        </w:tc>
        <w:tc>
          <w:tcPr>
            <w:tcW w:w="1245"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第一轮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数量/完成</w:t>
            </w:r>
          </w:p>
        </w:tc>
        <w:tc>
          <w:tcPr>
            <w:tcW w:w="9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第一轮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得分</w:t>
            </w:r>
          </w:p>
        </w:tc>
        <w:tc>
          <w:tcPr>
            <w:tcW w:w="12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第二轮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数量/完成</w:t>
            </w:r>
          </w:p>
        </w:tc>
        <w:tc>
          <w:tcPr>
            <w:tcW w:w="945"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第二轮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restart"/>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常规任务</w:t>
            </w:r>
          </w:p>
        </w:tc>
        <w:tc>
          <w:tcPr>
            <w:tcW w:w="3000" w:type="dxa"/>
          </w:tcPr>
          <w:p>
            <w:pPr>
              <w:spacing w:before="220" w:line="228" w:lineRule="auto"/>
              <w:jc w:val="center"/>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起飞</w:t>
            </w:r>
          </w:p>
        </w:tc>
        <w:tc>
          <w:tcPr>
            <w:tcW w:w="630" w:type="dxa"/>
          </w:tcPr>
          <w:p>
            <w:pPr>
              <w:spacing w:before="220" w:line="228" w:lineRule="auto"/>
              <w:jc w:val="center"/>
              <w:rPr>
                <w:rFonts w:hint="eastAsia"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5分</w:t>
            </w:r>
          </w:p>
        </w:tc>
        <w:tc>
          <w:tcPr>
            <w:tcW w:w="1245" w:type="dxa"/>
          </w:tcPr>
          <w:p>
            <w:pPr>
              <w:spacing w:before="220" w:line="228" w:lineRule="auto"/>
              <w:jc w:val="center"/>
              <w:rPr>
                <w:rFonts w:hint="eastAsia" w:ascii="仿宋" w:hAnsi="仿宋" w:eastAsia="仿宋" w:cs="仿宋"/>
                <w:color w:val="auto"/>
                <w:spacing w:val="-1"/>
                <w:sz w:val="23"/>
                <w:szCs w:val="23"/>
                <w:lang w:val="en-US" w:eastAsia="zh-CN"/>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eastAsia="zh-CN"/>
              </w:rPr>
              <w:t>黄色</w:t>
            </w:r>
            <w:r>
              <w:rPr>
                <w:rFonts w:hint="eastAsia" w:ascii="仿宋" w:hAnsi="仿宋" w:eastAsia="仿宋" w:cs="仿宋"/>
                <w:color w:val="auto"/>
                <w:spacing w:val="-1"/>
                <w:sz w:val="23"/>
                <w:szCs w:val="23"/>
              </w:rPr>
              <w:t>投掷物在</w:t>
            </w:r>
            <w:r>
              <w:rPr>
                <w:rFonts w:hint="eastAsia" w:ascii="仿宋" w:hAnsi="仿宋" w:eastAsia="仿宋" w:cs="仿宋"/>
                <w:color w:val="auto"/>
                <w:spacing w:val="-1"/>
                <w:sz w:val="23"/>
                <w:szCs w:val="23"/>
                <w:lang w:eastAsia="zh-CN"/>
              </w:rPr>
              <w:t>直径</w:t>
            </w:r>
            <w:r>
              <w:rPr>
                <w:rFonts w:hint="eastAsia" w:ascii="仿宋" w:hAnsi="仿宋" w:eastAsia="仿宋" w:cs="仿宋"/>
                <w:color w:val="auto"/>
                <w:spacing w:val="-1"/>
                <w:sz w:val="23"/>
                <w:szCs w:val="23"/>
                <w:lang w:val="en-US" w:eastAsia="zh-CN"/>
              </w:rPr>
              <w:t>15CM底盘</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vMerge w:val="restart"/>
          </w:tcPr>
          <w:p>
            <w:pPr>
              <w:spacing w:before="220" w:line="228" w:lineRule="auto"/>
              <w:jc w:val="center"/>
              <w:rPr>
                <w:rFonts w:hint="default" w:ascii="仿宋" w:hAnsi="仿宋" w:eastAsia="仿宋" w:cs="仿宋"/>
                <w:color w:val="auto"/>
                <w:spacing w:val="-1"/>
                <w:sz w:val="23"/>
                <w:szCs w:val="23"/>
                <w:lang w:val="en-US" w:eastAsia="zh-CN"/>
              </w:rPr>
            </w:pPr>
          </w:p>
        </w:tc>
        <w:tc>
          <w:tcPr>
            <w:tcW w:w="900" w:type="dxa"/>
            <w:vMerge w:val="restart"/>
          </w:tcPr>
          <w:p>
            <w:pPr>
              <w:spacing w:before="220" w:line="228" w:lineRule="auto"/>
              <w:jc w:val="center"/>
              <w:rPr>
                <w:rFonts w:hint="eastAsia" w:ascii="仿宋" w:hAnsi="仿宋" w:eastAsia="仿宋" w:cs="仿宋"/>
                <w:color w:val="auto"/>
                <w:spacing w:val="-1"/>
                <w:sz w:val="23"/>
                <w:szCs w:val="23"/>
              </w:rPr>
            </w:pPr>
          </w:p>
        </w:tc>
        <w:tc>
          <w:tcPr>
            <w:tcW w:w="1200" w:type="dxa"/>
            <w:vMerge w:val="restart"/>
          </w:tcPr>
          <w:p>
            <w:pPr>
              <w:spacing w:before="220" w:line="228" w:lineRule="auto"/>
              <w:jc w:val="center"/>
              <w:rPr>
                <w:rFonts w:hint="eastAsia" w:ascii="仿宋" w:hAnsi="仿宋" w:eastAsia="仿宋" w:cs="仿宋"/>
                <w:color w:val="auto"/>
                <w:spacing w:val="-1"/>
                <w:sz w:val="23"/>
                <w:szCs w:val="23"/>
              </w:rPr>
            </w:pPr>
          </w:p>
        </w:tc>
        <w:tc>
          <w:tcPr>
            <w:tcW w:w="945" w:type="dxa"/>
            <w:vMerge w:val="restart"/>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eastAsia="zh-CN"/>
              </w:rPr>
              <w:t>黄色</w:t>
            </w:r>
            <w:r>
              <w:rPr>
                <w:rFonts w:hint="eastAsia" w:ascii="仿宋" w:hAnsi="仿宋" w:eastAsia="仿宋" w:cs="仿宋"/>
                <w:color w:val="auto"/>
                <w:spacing w:val="-1"/>
                <w:sz w:val="23"/>
                <w:szCs w:val="23"/>
              </w:rPr>
              <w:t>投掷物在</w:t>
            </w:r>
            <w:r>
              <w:rPr>
                <w:rFonts w:hint="eastAsia" w:ascii="仿宋" w:hAnsi="仿宋" w:eastAsia="仿宋" w:cs="仿宋"/>
                <w:color w:val="auto"/>
                <w:spacing w:val="-1"/>
                <w:sz w:val="23"/>
                <w:szCs w:val="23"/>
                <w:lang w:eastAsia="zh-CN"/>
              </w:rPr>
              <w:t>直径</w:t>
            </w:r>
            <w:r>
              <w:rPr>
                <w:rFonts w:hint="eastAsia" w:ascii="仿宋" w:hAnsi="仿宋" w:eastAsia="仿宋" w:cs="仿宋"/>
                <w:color w:val="auto"/>
                <w:spacing w:val="-1"/>
                <w:sz w:val="23"/>
                <w:szCs w:val="23"/>
                <w:lang w:val="en-US" w:eastAsia="zh-CN"/>
              </w:rPr>
              <w:t>30CM底盘</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15分</w:t>
            </w:r>
          </w:p>
        </w:tc>
        <w:tc>
          <w:tcPr>
            <w:tcW w:w="1245" w:type="dxa"/>
            <w:vMerge w:val="continue"/>
          </w:tcPr>
          <w:p>
            <w:pPr>
              <w:spacing w:before="220" w:line="228" w:lineRule="auto"/>
              <w:jc w:val="center"/>
              <w:rPr>
                <w:rFonts w:hint="eastAsia" w:ascii="仿宋" w:hAnsi="仿宋" w:eastAsia="仿宋" w:cs="仿宋"/>
                <w:color w:val="auto"/>
                <w:spacing w:val="-1"/>
                <w:sz w:val="23"/>
                <w:szCs w:val="23"/>
              </w:rPr>
            </w:pPr>
          </w:p>
        </w:tc>
        <w:tc>
          <w:tcPr>
            <w:tcW w:w="900" w:type="dxa"/>
            <w:vMerge w:val="continue"/>
          </w:tcPr>
          <w:p>
            <w:pPr>
              <w:spacing w:before="220" w:line="228" w:lineRule="auto"/>
              <w:jc w:val="center"/>
              <w:rPr>
                <w:rFonts w:hint="eastAsia" w:ascii="仿宋" w:hAnsi="仿宋" w:eastAsia="仿宋" w:cs="仿宋"/>
                <w:color w:val="auto"/>
                <w:spacing w:val="-1"/>
                <w:sz w:val="23"/>
                <w:szCs w:val="23"/>
              </w:rPr>
            </w:pPr>
          </w:p>
        </w:tc>
        <w:tc>
          <w:tcPr>
            <w:tcW w:w="1200" w:type="dxa"/>
            <w:vMerge w:val="continue"/>
          </w:tcPr>
          <w:p>
            <w:pPr>
              <w:spacing w:before="220" w:line="228" w:lineRule="auto"/>
              <w:jc w:val="center"/>
              <w:rPr>
                <w:rFonts w:hint="eastAsia" w:ascii="仿宋" w:hAnsi="仿宋" w:eastAsia="仿宋" w:cs="仿宋"/>
                <w:color w:val="auto"/>
                <w:spacing w:val="-1"/>
                <w:sz w:val="23"/>
                <w:szCs w:val="23"/>
              </w:rPr>
            </w:pPr>
          </w:p>
        </w:tc>
        <w:tc>
          <w:tcPr>
            <w:tcW w:w="945" w:type="dxa"/>
            <w:vMerge w:val="continue"/>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eastAsia="zh-CN"/>
              </w:rPr>
              <w:t>黄色</w:t>
            </w:r>
            <w:r>
              <w:rPr>
                <w:rFonts w:hint="eastAsia" w:ascii="仿宋" w:hAnsi="仿宋" w:eastAsia="仿宋" w:cs="仿宋"/>
                <w:color w:val="auto"/>
                <w:spacing w:val="-1"/>
                <w:sz w:val="23"/>
                <w:szCs w:val="23"/>
              </w:rPr>
              <w:t>投掷物在</w:t>
            </w:r>
            <w:r>
              <w:rPr>
                <w:rFonts w:hint="eastAsia" w:ascii="仿宋" w:hAnsi="仿宋" w:eastAsia="仿宋" w:cs="仿宋"/>
                <w:color w:val="auto"/>
                <w:spacing w:val="-1"/>
                <w:sz w:val="23"/>
                <w:szCs w:val="23"/>
                <w:lang w:eastAsia="zh-CN"/>
              </w:rPr>
              <w:t>直径</w:t>
            </w:r>
            <w:r>
              <w:rPr>
                <w:rFonts w:hint="eastAsia" w:ascii="仿宋" w:hAnsi="仿宋" w:eastAsia="仿宋" w:cs="仿宋"/>
                <w:color w:val="auto"/>
                <w:spacing w:val="-1"/>
                <w:sz w:val="23"/>
                <w:szCs w:val="23"/>
                <w:lang w:val="en-US" w:eastAsia="zh-CN"/>
              </w:rPr>
              <w:t>45CM底盘</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10分</w:t>
            </w:r>
          </w:p>
        </w:tc>
        <w:tc>
          <w:tcPr>
            <w:tcW w:w="1245" w:type="dxa"/>
            <w:vMerge w:val="continue"/>
          </w:tcPr>
          <w:p>
            <w:pPr>
              <w:spacing w:before="220" w:line="228" w:lineRule="auto"/>
              <w:jc w:val="center"/>
              <w:rPr>
                <w:rFonts w:hint="eastAsia" w:ascii="仿宋" w:hAnsi="仿宋" w:eastAsia="仿宋" w:cs="仿宋"/>
                <w:color w:val="auto"/>
                <w:spacing w:val="-1"/>
                <w:sz w:val="23"/>
                <w:szCs w:val="23"/>
              </w:rPr>
            </w:pPr>
          </w:p>
        </w:tc>
        <w:tc>
          <w:tcPr>
            <w:tcW w:w="900" w:type="dxa"/>
            <w:vMerge w:val="continue"/>
          </w:tcPr>
          <w:p>
            <w:pPr>
              <w:spacing w:before="220" w:line="228" w:lineRule="auto"/>
              <w:jc w:val="center"/>
              <w:rPr>
                <w:rFonts w:hint="eastAsia" w:ascii="仿宋" w:hAnsi="仿宋" w:eastAsia="仿宋" w:cs="仿宋"/>
                <w:color w:val="auto"/>
                <w:spacing w:val="-1"/>
                <w:sz w:val="23"/>
                <w:szCs w:val="23"/>
              </w:rPr>
            </w:pPr>
          </w:p>
        </w:tc>
        <w:tc>
          <w:tcPr>
            <w:tcW w:w="1200" w:type="dxa"/>
            <w:vMerge w:val="continue"/>
          </w:tcPr>
          <w:p>
            <w:pPr>
              <w:spacing w:before="220" w:line="228" w:lineRule="auto"/>
              <w:jc w:val="center"/>
              <w:rPr>
                <w:rFonts w:hint="eastAsia" w:ascii="仿宋" w:hAnsi="仿宋" w:eastAsia="仿宋" w:cs="仿宋"/>
                <w:color w:val="auto"/>
                <w:spacing w:val="-1"/>
                <w:sz w:val="23"/>
                <w:szCs w:val="23"/>
              </w:rPr>
            </w:pPr>
          </w:p>
        </w:tc>
        <w:tc>
          <w:tcPr>
            <w:tcW w:w="945" w:type="dxa"/>
            <w:vMerge w:val="continue"/>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vAlign w:val="top"/>
          </w:tcPr>
          <w:p>
            <w:pPr>
              <w:spacing w:before="220" w:line="228" w:lineRule="auto"/>
              <w:jc w:val="center"/>
              <w:rPr>
                <w:rFonts w:hint="default" w:ascii="仿宋" w:hAnsi="仿宋" w:eastAsia="仿宋" w:cs="仿宋"/>
                <w:snapToGrid w:val="0"/>
                <w:color w:val="auto"/>
                <w:spacing w:val="-1"/>
                <w:kern w:val="0"/>
                <w:sz w:val="23"/>
                <w:szCs w:val="23"/>
                <w:lang w:val="en-US" w:eastAsia="zh-CN"/>
              </w:rPr>
            </w:pPr>
            <w:r>
              <w:rPr>
                <w:rFonts w:hint="eastAsia" w:ascii="仿宋" w:hAnsi="仿宋" w:eastAsia="仿宋" w:cs="仿宋"/>
                <w:color w:val="auto"/>
                <w:spacing w:val="-1"/>
                <w:sz w:val="23"/>
                <w:szCs w:val="23"/>
                <w:lang w:eastAsia="zh-CN"/>
              </w:rPr>
              <w:t>穿越单圆环（内径</w:t>
            </w:r>
            <w:r>
              <w:rPr>
                <w:rFonts w:hint="eastAsia" w:ascii="仿宋" w:hAnsi="仿宋" w:eastAsia="仿宋" w:cs="仿宋"/>
                <w:color w:val="auto"/>
                <w:spacing w:val="-1"/>
                <w:sz w:val="23"/>
                <w:szCs w:val="23"/>
                <w:lang w:val="en-US" w:eastAsia="zh-CN"/>
              </w:rPr>
              <w:t>500mm）</w:t>
            </w:r>
          </w:p>
        </w:tc>
        <w:tc>
          <w:tcPr>
            <w:tcW w:w="630" w:type="dxa"/>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10分</w:t>
            </w:r>
          </w:p>
        </w:tc>
        <w:tc>
          <w:tcPr>
            <w:tcW w:w="1245"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p>
        </w:tc>
        <w:tc>
          <w:tcPr>
            <w:tcW w:w="12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vAlign w:val="top"/>
          </w:tcPr>
          <w:p>
            <w:pPr>
              <w:spacing w:before="220" w:line="228" w:lineRule="auto"/>
              <w:jc w:val="center"/>
              <w:rPr>
                <w:rFonts w:hint="eastAsia" w:ascii="仿宋" w:hAnsi="仿宋" w:eastAsia="仿宋" w:cs="仿宋"/>
                <w:snapToGrid w:val="0"/>
                <w:color w:val="auto"/>
                <w:spacing w:val="-1"/>
                <w:kern w:val="0"/>
                <w:sz w:val="23"/>
                <w:szCs w:val="23"/>
                <w:lang w:eastAsia="zh-CN"/>
              </w:rPr>
            </w:pPr>
            <w:r>
              <w:rPr>
                <w:rFonts w:hint="eastAsia" w:ascii="仿宋" w:hAnsi="仿宋" w:eastAsia="仿宋" w:cs="仿宋"/>
                <w:color w:val="auto"/>
                <w:spacing w:val="-1"/>
                <w:sz w:val="23"/>
                <w:szCs w:val="23"/>
              </w:rPr>
              <w:t>绕飞竖杆</w:t>
            </w:r>
          </w:p>
        </w:tc>
        <w:tc>
          <w:tcPr>
            <w:tcW w:w="630" w:type="dxa"/>
            <w:vAlign w:val="top"/>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10分</w:t>
            </w:r>
          </w:p>
        </w:tc>
        <w:tc>
          <w:tcPr>
            <w:tcW w:w="1245"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p>
        </w:tc>
        <w:tc>
          <w:tcPr>
            <w:tcW w:w="12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vAlign w:val="top"/>
          </w:tcPr>
          <w:p>
            <w:pPr>
              <w:spacing w:before="220" w:line="228" w:lineRule="auto"/>
              <w:jc w:val="center"/>
              <w:rPr>
                <w:rFonts w:hint="eastAsia" w:ascii="仿宋" w:hAnsi="仿宋" w:eastAsia="仿宋" w:cs="仿宋"/>
                <w:snapToGrid w:val="0"/>
                <w:color w:val="auto"/>
                <w:spacing w:val="-1"/>
                <w:kern w:val="0"/>
                <w:sz w:val="23"/>
                <w:szCs w:val="23"/>
              </w:rPr>
            </w:pPr>
            <w:r>
              <w:rPr>
                <w:rFonts w:hint="eastAsia" w:ascii="仿宋" w:hAnsi="仿宋" w:eastAsia="仿宋" w:cs="仿宋"/>
                <w:color w:val="auto"/>
                <w:spacing w:val="-1"/>
                <w:sz w:val="23"/>
                <w:szCs w:val="23"/>
                <w:lang w:val="en-US" w:eastAsia="zh-CN"/>
              </w:rPr>
              <w:t>连续</w:t>
            </w:r>
            <w:r>
              <w:rPr>
                <w:rFonts w:hint="eastAsia" w:ascii="仿宋" w:hAnsi="仿宋" w:eastAsia="仿宋" w:cs="仿宋"/>
                <w:color w:val="auto"/>
                <w:spacing w:val="-1"/>
                <w:sz w:val="23"/>
                <w:szCs w:val="23"/>
              </w:rPr>
              <w:t>环</w:t>
            </w:r>
          </w:p>
        </w:tc>
        <w:tc>
          <w:tcPr>
            <w:tcW w:w="630" w:type="dxa"/>
            <w:vAlign w:val="top"/>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30分</w:t>
            </w:r>
          </w:p>
        </w:tc>
        <w:tc>
          <w:tcPr>
            <w:tcW w:w="1245"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p>
        </w:tc>
        <w:tc>
          <w:tcPr>
            <w:tcW w:w="12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r>
              <w:rPr>
                <w:rFonts w:hint="eastAsia" w:ascii="仿宋" w:hAnsi="仿宋" w:eastAsia="仿宋" w:cs="仿宋"/>
                <w:color w:val="auto"/>
                <w:spacing w:val="-1"/>
                <w:sz w:val="23"/>
                <w:szCs w:val="23"/>
                <w:highlight w:val="none"/>
                <w:lang w:val="en-US" w:eastAsia="zh-CN"/>
              </w:rPr>
              <w:t xml:space="preserve">     </w:t>
            </w: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vAlign w:val="top"/>
          </w:tcPr>
          <w:p>
            <w:pPr>
              <w:spacing w:before="220" w:line="228" w:lineRule="auto"/>
              <w:jc w:val="center"/>
              <w:rPr>
                <w:rFonts w:hint="eastAsia"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巡线飞行</w:t>
            </w:r>
          </w:p>
        </w:tc>
        <w:tc>
          <w:tcPr>
            <w:tcW w:w="630" w:type="dxa"/>
            <w:vAlign w:val="top"/>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15分</w:t>
            </w:r>
          </w:p>
        </w:tc>
        <w:tc>
          <w:tcPr>
            <w:tcW w:w="1245" w:type="dxa"/>
            <w:vAlign w:val="top"/>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00" w:type="dxa"/>
            <w:vAlign w:val="top"/>
          </w:tcPr>
          <w:p>
            <w:pPr>
              <w:spacing w:before="220" w:line="228" w:lineRule="auto"/>
              <w:jc w:val="center"/>
              <w:rPr>
                <w:rFonts w:hint="eastAsia" w:ascii="仿宋" w:hAnsi="仿宋" w:eastAsia="仿宋" w:cs="仿宋"/>
                <w:snapToGrid w:val="0"/>
                <w:color w:val="auto"/>
                <w:spacing w:val="-1"/>
                <w:kern w:val="0"/>
                <w:sz w:val="23"/>
                <w:szCs w:val="23"/>
                <w:highlight w:val="none"/>
              </w:rPr>
            </w:pPr>
          </w:p>
        </w:tc>
        <w:tc>
          <w:tcPr>
            <w:tcW w:w="1200" w:type="dxa"/>
            <w:vAlign w:val="top"/>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snapToGrid w:val="0"/>
                <w:color w:val="auto"/>
                <w:kern w:val="0"/>
                <w:sz w:val="24"/>
                <w:szCs w:val="24"/>
                <w:lang w:val="en-US" w:eastAsia="zh-CN"/>
              </w:rPr>
              <w:t>点亮指示灯5秒</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10</w:t>
            </w:r>
            <w:r>
              <w:rPr>
                <w:rFonts w:hint="eastAsia" w:ascii="仿宋" w:hAnsi="仿宋" w:eastAsia="仿宋" w:cs="仿宋"/>
                <w:color w:val="auto"/>
                <w:spacing w:val="-1"/>
                <w:sz w:val="23"/>
                <w:szCs w:val="23"/>
              </w:rPr>
              <w:t>分</w:t>
            </w:r>
          </w:p>
        </w:tc>
        <w:tc>
          <w:tcPr>
            <w:tcW w:w="1245" w:type="dxa"/>
          </w:tcPr>
          <w:p>
            <w:pPr>
              <w:spacing w:before="220" w:line="228" w:lineRule="auto"/>
              <w:jc w:val="center"/>
              <w:rPr>
                <w:rFonts w:hint="eastAsia" w:ascii="仿宋" w:hAnsi="仿宋" w:eastAsia="仿宋" w:cs="仿宋"/>
                <w:color w:val="auto"/>
                <w:spacing w:val="-1"/>
                <w:sz w:val="23"/>
                <w:szCs w:val="23"/>
                <w:highlight w:val="none"/>
                <w:lang w:eastAsia="zh-CN"/>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lang w:eastAsia="zh-CN"/>
              </w:rPr>
              <w:t>个</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lang w:eastAsia="zh-CN"/>
              </w:rPr>
              <w:t>个</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带离平台</w:t>
            </w:r>
          </w:p>
        </w:tc>
        <w:tc>
          <w:tcPr>
            <w:tcW w:w="630" w:type="dxa"/>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15分</w:t>
            </w:r>
          </w:p>
        </w:tc>
        <w:tc>
          <w:tcPr>
            <w:tcW w:w="1245" w:type="dxa"/>
          </w:tcPr>
          <w:p>
            <w:pPr>
              <w:spacing w:before="220" w:line="228" w:lineRule="auto"/>
              <w:jc w:val="center"/>
              <w:rPr>
                <w:rFonts w:hint="default" w:ascii="仿宋" w:hAnsi="仿宋" w:eastAsia="仿宋" w:cs="仿宋"/>
                <w:color w:val="auto"/>
                <w:spacing w:val="-1"/>
                <w:sz w:val="23"/>
                <w:szCs w:val="23"/>
                <w:highlight w:val="none"/>
                <w:lang w:val="en-US" w:eastAsia="zh-CN"/>
              </w:rPr>
            </w:pPr>
            <w:r>
              <w:rPr>
                <w:rFonts w:hint="eastAsia" w:ascii="仿宋" w:hAnsi="仿宋" w:eastAsia="仿宋" w:cs="仿宋"/>
                <w:color w:val="auto"/>
                <w:spacing w:val="-1"/>
                <w:sz w:val="23"/>
                <w:szCs w:val="23"/>
                <w:highlight w:val="none"/>
                <w:lang w:val="en-US" w:eastAsia="zh-CN"/>
              </w:rPr>
              <w:t xml:space="preserve">      个</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default" w:ascii="仿宋" w:hAnsi="仿宋" w:eastAsia="仿宋" w:cs="仿宋"/>
                <w:color w:val="auto"/>
                <w:spacing w:val="-1"/>
                <w:sz w:val="23"/>
                <w:szCs w:val="23"/>
                <w:highlight w:val="none"/>
                <w:lang w:val="en-US" w:eastAsia="zh-CN"/>
              </w:rPr>
            </w:pPr>
            <w:r>
              <w:rPr>
                <w:rFonts w:hint="eastAsia" w:ascii="仿宋" w:hAnsi="仿宋" w:eastAsia="仿宋" w:cs="仿宋"/>
                <w:color w:val="auto"/>
                <w:spacing w:val="-1"/>
                <w:sz w:val="23"/>
                <w:szCs w:val="23"/>
                <w:highlight w:val="none"/>
                <w:lang w:val="en-US" w:eastAsia="zh-CN"/>
              </w:rPr>
              <w:t xml:space="preserve">       个</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rPr>
              <w:t>投进</w:t>
            </w:r>
            <w:r>
              <w:rPr>
                <w:rFonts w:hint="eastAsia" w:ascii="仿宋" w:hAnsi="仿宋" w:eastAsia="仿宋" w:cs="仿宋"/>
                <w:color w:val="auto"/>
                <w:spacing w:val="-1"/>
                <w:sz w:val="23"/>
                <w:szCs w:val="23"/>
                <w:lang w:eastAsia="zh-CN"/>
              </w:rPr>
              <w:t>同心圆底盘</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30</w:t>
            </w:r>
            <w:r>
              <w:rPr>
                <w:rFonts w:hint="eastAsia" w:ascii="仿宋" w:hAnsi="仿宋" w:eastAsia="仿宋" w:cs="仿宋"/>
                <w:color w:val="auto"/>
                <w:spacing w:val="-1"/>
                <w:sz w:val="23"/>
                <w:szCs w:val="23"/>
              </w:rPr>
              <w:t>分</w:t>
            </w:r>
          </w:p>
        </w:tc>
        <w:tc>
          <w:tcPr>
            <w:tcW w:w="1245" w:type="dxa"/>
          </w:tcPr>
          <w:p>
            <w:pPr>
              <w:spacing w:before="220" w:line="228" w:lineRule="auto"/>
              <w:jc w:val="center"/>
              <w:rPr>
                <w:rFonts w:hint="eastAsia" w:ascii="仿宋" w:hAnsi="仿宋" w:eastAsia="仿宋" w:cs="仿宋"/>
                <w:color w:val="auto"/>
                <w:spacing w:val="-1"/>
                <w:sz w:val="23"/>
                <w:szCs w:val="23"/>
                <w:highlight w:val="none"/>
                <w:lang w:eastAsia="zh-CN"/>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lang w:eastAsia="zh-CN"/>
              </w:rPr>
              <w:t>个</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lang w:eastAsia="zh-CN"/>
              </w:rPr>
              <w:t>个</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eastAsia="zh-CN"/>
              </w:rPr>
              <w:t>展示照片</w:t>
            </w:r>
          </w:p>
        </w:tc>
        <w:tc>
          <w:tcPr>
            <w:tcW w:w="630" w:type="dxa"/>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20分</w:t>
            </w:r>
          </w:p>
        </w:tc>
        <w:tc>
          <w:tcPr>
            <w:tcW w:w="1245" w:type="dxa"/>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返航</w:t>
            </w:r>
          </w:p>
        </w:tc>
        <w:tc>
          <w:tcPr>
            <w:tcW w:w="630" w:type="dxa"/>
          </w:tcPr>
          <w:p>
            <w:pPr>
              <w:spacing w:before="220" w:line="228" w:lineRule="auto"/>
              <w:jc w:val="center"/>
              <w:rPr>
                <w:rFonts w:hint="default" w:ascii="仿宋" w:hAnsi="仿宋" w:eastAsia="仿宋" w:cs="仿宋"/>
                <w:color w:val="auto"/>
                <w:spacing w:val="-1"/>
                <w:sz w:val="23"/>
                <w:szCs w:val="23"/>
                <w:lang w:val="en-US" w:eastAsia="zh-CN"/>
              </w:rPr>
            </w:pPr>
            <w:r>
              <w:rPr>
                <w:rFonts w:hint="eastAsia" w:ascii="仿宋" w:hAnsi="仿宋" w:eastAsia="仿宋" w:cs="仿宋"/>
                <w:color w:val="auto"/>
                <w:spacing w:val="-1"/>
                <w:sz w:val="23"/>
                <w:szCs w:val="23"/>
                <w:lang w:val="en-US" w:eastAsia="zh-CN"/>
              </w:rPr>
              <w:t>5分</w:t>
            </w:r>
          </w:p>
        </w:tc>
        <w:tc>
          <w:tcPr>
            <w:tcW w:w="1245" w:type="dxa"/>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lang w:val="en-US" w:eastAsia="zh-CN"/>
              </w:rPr>
            </w:pP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986" w:type="dxa"/>
            <w:vMerge w:val="restart"/>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挑战任务</w:t>
            </w:r>
          </w:p>
        </w:tc>
        <w:tc>
          <w:tcPr>
            <w:tcW w:w="3000" w:type="dxa"/>
          </w:tcPr>
          <w:p>
            <w:pPr>
              <w:spacing w:before="220" w:line="228" w:lineRule="auto"/>
              <w:jc w:val="center"/>
              <w:rPr>
                <w:rFonts w:hint="eastAsia" w:ascii="仿宋" w:hAnsi="仿宋" w:eastAsia="仿宋" w:cs="仿宋"/>
                <w:color w:val="auto"/>
                <w:spacing w:val="-1"/>
                <w:sz w:val="23"/>
                <w:szCs w:val="23"/>
                <w:lang w:eastAsia="zh-CN"/>
              </w:rPr>
            </w:pPr>
            <w:r>
              <w:rPr>
                <w:rFonts w:hint="eastAsia" w:ascii="仿宋" w:hAnsi="仿宋" w:eastAsia="仿宋" w:cs="仿宋"/>
                <w:snapToGrid w:val="0"/>
                <w:color w:val="auto"/>
                <w:kern w:val="0"/>
                <w:sz w:val="24"/>
                <w:szCs w:val="24"/>
                <w:lang w:val="en-US" w:eastAsia="zh-CN"/>
              </w:rPr>
              <w:t>体积误差在10%以内</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50</w:t>
            </w:r>
            <w:r>
              <w:rPr>
                <w:rFonts w:hint="eastAsia" w:ascii="仿宋" w:hAnsi="仿宋" w:eastAsia="仿宋" w:cs="仿宋"/>
                <w:color w:val="auto"/>
                <w:spacing w:val="-1"/>
                <w:sz w:val="23"/>
                <w:szCs w:val="23"/>
              </w:rPr>
              <w:t>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986" w:type="dxa"/>
            <w:vMerge w:val="continue"/>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snapToGrid w:val="0"/>
                <w:color w:val="auto"/>
                <w:kern w:val="0"/>
                <w:sz w:val="24"/>
                <w:szCs w:val="24"/>
                <w:lang w:val="en-US" w:eastAsia="zh-CN"/>
              </w:rPr>
              <w:t>所测数量正确</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50</w:t>
            </w:r>
            <w:r>
              <w:rPr>
                <w:rFonts w:hint="eastAsia" w:ascii="仿宋" w:hAnsi="仿宋" w:eastAsia="仿宋" w:cs="仿宋"/>
                <w:color w:val="auto"/>
                <w:spacing w:val="-1"/>
                <w:sz w:val="23"/>
                <w:szCs w:val="23"/>
              </w:rPr>
              <w:t>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单轮得分</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单轮用时</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总得分</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总用时</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bl>
    <w:p>
      <w:pPr>
        <w:rPr>
          <w:rFonts w:hint="default" w:ascii="仿宋" w:hAnsi="仿宋" w:eastAsia="仿宋" w:cs="仿宋"/>
          <w:color w:val="auto"/>
          <w:spacing w:val="10"/>
          <w:sz w:val="23"/>
          <w:szCs w:val="23"/>
          <w:lang w:val="en-US" w:eastAsia="zh-CN"/>
        </w:rPr>
      </w:pPr>
    </w:p>
    <w:p>
      <w:pPr>
        <w:spacing w:before="75" w:line="231" w:lineRule="auto"/>
        <w:rPr>
          <w:rFonts w:hint="eastAsia" w:ascii="仿宋" w:hAnsi="仿宋" w:eastAsia="仿宋" w:cs="仿宋"/>
          <w:color w:val="auto"/>
          <w:spacing w:val="7"/>
          <w:sz w:val="23"/>
          <w:szCs w:val="23"/>
        </w:rPr>
      </w:pPr>
      <w:r>
        <w:rPr>
          <w:rFonts w:hint="eastAsia" w:ascii="仿宋" w:hAnsi="仿宋" w:eastAsia="仿宋" w:cs="仿宋"/>
          <w:color w:val="auto"/>
          <w:spacing w:val="10"/>
          <w:sz w:val="23"/>
          <w:szCs w:val="23"/>
        </w:rPr>
        <w:t>参</w:t>
      </w:r>
      <w:r>
        <w:rPr>
          <w:rFonts w:hint="eastAsia" w:ascii="仿宋" w:hAnsi="仿宋" w:eastAsia="仿宋" w:cs="仿宋"/>
          <w:color w:val="auto"/>
          <w:spacing w:val="5"/>
          <w:sz w:val="23"/>
          <w:szCs w:val="23"/>
        </w:rPr>
        <w:t>赛队员</w:t>
      </w:r>
      <w:r>
        <w:rPr>
          <w:rFonts w:hint="eastAsia" w:ascii="仿宋" w:hAnsi="仿宋" w:eastAsia="仿宋" w:cs="仿宋"/>
          <w:color w:val="auto"/>
          <w:spacing w:val="5"/>
          <w:sz w:val="23"/>
          <w:szCs w:val="23"/>
          <w:lang w:val="en-US" w:eastAsia="zh-CN"/>
        </w:rPr>
        <w:t>签字</w:t>
      </w:r>
      <w:r>
        <w:rPr>
          <w:rFonts w:hint="eastAsia" w:ascii="仿宋" w:hAnsi="仿宋" w:eastAsia="仿宋" w:cs="仿宋"/>
          <w:color w:val="auto"/>
          <w:spacing w:val="5"/>
          <w:sz w:val="23"/>
          <w:szCs w:val="23"/>
        </w:rPr>
        <w:t>：</w:t>
      </w:r>
      <w:r>
        <w:rPr>
          <w:rFonts w:hint="eastAsia" w:ascii="仿宋" w:hAnsi="仿宋" w:eastAsia="仿宋" w:cs="仿宋"/>
          <w:color w:val="auto"/>
          <w:spacing w:val="5"/>
          <w:sz w:val="23"/>
          <w:szCs w:val="23"/>
          <w:u w:val="single"/>
          <w:lang w:val="en-US" w:eastAsia="zh-CN"/>
        </w:rPr>
        <w:t xml:space="preserve">                       </w:t>
      </w:r>
      <w:r>
        <w:rPr>
          <w:rFonts w:hint="eastAsia" w:ascii="仿宋" w:hAnsi="仿宋" w:eastAsia="仿宋" w:cs="仿宋"/>
          <w:color w:val="auto"/>
          <w:spacing w:val="5"/>
          <w:sz w:val="23"/>
          <w:szCs w:val="23"/>
        </w:rPr>
        <w:t>裁判员签字：</w:t>
      </w:r>
      <w:r>
        <w:rPr>
          <w:rFonts w:hint="eastAsia" w:ascii="仿宋" w:hAnsi="仿宋" w:eastAsia="仿宋" w:cs="仿宋"/>
          <w:color w:val="auto"/>
          <w:spacing w:val="5"/>
          <w:sz w:val="23"/>
          <w:szCs w:val="23"/>
          <w:u w:val="single"/>
          <w:lang w:val="en-US" w:eastAsia="zh-CN"/>
        </w:rPr>
        <w:t xml:space="preserve">                                                             </w:t>
      </w:r>
    </w:p>
    <w:p>
      <w:pPr>
        <w:rPr>
          <w:rFonts w:hint="eastAsia" w:ascii="仿宋" w:hAnsi="仿宋" w:eastAsia="仿宋" w:cs="仿宋"/>
          <w:color w:val="auto"/>
          <w:spacing w:val="7"/>
          <w:sz w:val="23"/>
          <w:szCs w:val="23"/>
        </w:rPr>
      </w:pPr>
    </w:p>
    <w:p>
      <w:pPr>
        <w:rPr>
          <w:rFonts w:hint="eastAsia" w:ascii="仿宋" w:hAnsi="仿宋" w:eastAsia="仿宋" w:cs="仿宋"/>
          <w:color w:val="auto"/>
          <w:spacing w:val="7"/>
          <w:sz w:val="23"/>
          <w:szCs w:val="23"/>
        </w:rPr>
      </w:pPr>
    </w:p>
    <w:p>
      <w:pPr>
        <w:rPr>
          <w:rFonts w:hint="default" w:ascii="仿宋" w:hAnsi="仿宋" w:eastAsia="仿宋" w:cs="仿宋"/>
          <w:color w:val="auto"/>
          <w:sz w:val="23"/>
          <w:szCs w:val="23"/>
          <w:u w:val="single"/>
          <w:lang w:val="en-US" w:eastAsia="zh-CN"/>
        </w:rPr>
      </w:pPr>
      <w:r>
        <w:rPr>
          <w:rFonts w:hint="eastAsia" w:ascii="仿宋" w:hAnsi="仿宋" w:eastAsia="仿宋" w:cs="仿宋"/>
          <w:color w:val="auto"/>
          <w:spacing w:val="7"/>
          <w:sz w:val="23"/>
          <w:szCs w:val="23"/>
        </w:rPr>
        <w:t>取消参赛资格原因：</w:t>
      </w:r>
      <w:r>
        <w:rPr>
          <w:rFonts w:hint="eastAsia" w:ascii="仿宋" w:hAnsi="仿宋" w:eastAsia="仿宋" w:cs="仿宋"/>
          <w:color w:val="auto"/>
          <w:spacing w:val="7"/>
          <w:sz w:val="23"/>
          <w:szCs w:val="23"/>
          <w:u w:val="single"/>
          <w:lang w:val="en-US" w:eastAsia="zh-CN"/>
        </w:rPr>
        <w:t xml:space="preserve">                                              </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MDlhZDNiODZmYzU0ZmUyMGRkZjM0ZmM0MzkxMDcifQ=="/>
    <w:docVar w:name="KSO_WPS_MARK_KEY" w:val="929c4ff9-29b9-4556-9691-20ba15b33790"/>
  </w:docVars>
  <w:rsids>
    <w:rsidRoot w:val="3B1F7EBC"/>
    <w:rsid w:val="052634B7"/>
    <w:rsid w:val="053E51D0"/>
    <w:rsid w:val="054E43AD"/>
    <w:rsid w:val="05945916"/>
    <w:rsid w:val="07BC546D"/>
    <w:rsid w:val="08E70149"/>
    <w:rsid w:val="09D724F3"/>
    <w:rsid w:val="0C5D06DC"/>
    <w:rsid w:val="0CA74680"/>
    <w:rsid w:val="0D527004"/>
    <w:rsid w:val="0DA60EB7"/>
    <w:rsid w:val="0E107399"/>
    <w:rsid w:val="0FF00FEF"/>
    <w:rsid w:val="10E9286E"/>
    <w:rsid w:val="12BE3CE4"/>
    <w:rsid w:val="193A1432"/>
    <w:rsid w:val="19E1100D"/>
    <w:rsid w:val="1B60576A"/>
    <w:rsid w:val="1B8F5B60"/>
    <w:rsid w:val="1BB611FE"/>
    <w:rsid w:val="1C914C36"/>
    <w:rsid w:val="1DC9750A"/>
    <w:rsid w:val="1E604489"/>
    <w:rsid w:val="1FD53BDB"/>
    <w:rsid w:val="213621C6"/>
    <w:rsid w:val="229314BA"/>
    <w:rsid w:val="22D30A28"/>
    <w:rsid w:val="23172EBC"/>
    <w:rsid w:val="23F32F2D"/>
    <w:rsid w:val="24236FC5"/>
    <w:rsid w:val="24746583"/>
    <w:rsid w:val="2B0F6397"/>
    <w:rsid w:val="2B1D5F1F"/>
    <w:rsid w:val="2D9E1882"/>
    <w:rsid w:val="2F9C1D1E"/>
    <w:rsid w:val="31F43791"/>
    <w:rsid w:val="3A026F03"/>
    <w:rsid w:val="3AF26768"/>
    <w:rsid w:val="3B1F7EBC"/>
    <w:rsid w:val="3CAF3A28"/>
    <w:rsid w:val="3DD66326"/>
    <w:rsid w:val="3E3220AF"/>
    <w:rsid w:val="3EB71D86"/>
    <w:rsid w:val="3FDF3CD8"/>
    <w:rsid w:val="408111EC"/>
    <w:rsid w:val="444C4E5B"/>
    <w:rsid w:val="47C60EC4"/>
    <w:rsid w:val="4AF1568F"/>
    <w:rsid w:val="4C4A4DDA"/>
    <w:rsid w:val="4C8021DA"/>
    <w:rsid w:val="4E601984"/>
    <w:rsid w:val="4F617A7D"/>
    <w:rsid w:val="53037C39"/>
    <w:rsid w:val="54A730EF"/>
    <w:rsid w:val="55E4364E"/>
    <w:rsid w:val="56934B29"/>
    <w:rsid w:val="57ED7866"/>
    <w:rsid w:val="58F54694"/>
    <w:rsid w:val="599164BB"/>
    <w:rsid w:val="5D553B61"/>
    <w:rsid w:val="5F922AF6"/>
    <w:rsid w:val="60270446"/>
    <w:rsid w:val="607E5C34"/>
    <w:rsid w:val="61CE145F"/>
    <w:rsid w:val="625C21E8"/>
    <w:rsid w:val="628E7E30"/>
    <w:rsid w:val="63B65569"/>
    <w:rsid w:val="65E16054"/>
    <w:rsid w:val="676128DD"/>
    <w:rsid w:val="68E91679"/>
    <w:rsid w:val="69F745C9"/>
    <w:rsid w:val="6E226BE1"/>
    <w:rsid w:val="74AB2749"/>
    <w:rsid w:val="74CF1873"/>
    <w:rsid w:val="7568637B"/>
    <w:rsid w:val="7AB930EC"/>
    <w:rsid w:val="7D5C2632"/>
    <w:rsid w:val="7ED50557"/>
    <w:rsid w:val="7EDE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640"/>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1"/>
    <w:pPr>
      <w:ind w:left="640" w:firstLine="42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5712</Words>
  <Characters>6066</Characters>
  <Lines>0</Lines>
  <Paragraphs>0</Paragraphs>
  <TotalTime>3</TotalTime>
  <ScaleCrop>false</ScaleCrop>
  <LinksUpToDate>false</LinksUpToDate>
  <CharactersWithSpaces>6384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2023-01-06T14:44:00Z</dcterms:created>
  <dc:creator>ROBOT  XWORLD</dc:creator>
  <cp:lastModifiedBy>沈源</cp:lastModifiedBy>
  <cp:lastPrinted>2023-01-06T15:42:00Z</cp:lastPrinted>
  <dcterms:modified xsi:type="dcterms:W3CDTF">2024-01-08T09:05:06Z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BCCA9ECD18184C2D8729C55CD1371C00_13</vt:lpwstr>
  </property>
</Properties>
</file>