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黑体" w:cs="Times New Roman"/>
          <w:color w:val="auto"/>
          <w:sz w:val="56"/>
          <w:szCs w:val="96"/>
          <w:lang w:val="en-US" w:eastAsia="zh-CN"/>
        </w:rPr>
      </w:pPr>
      <w:r>
        <w:rPr>
          <w:rFonts w:hint="default" w:ascii="Times New Roman" w:hAnsi="Times New Roman" w:eastAsia="黑体" w:cs="Times New Roman"/>
          <w:color w:val="auto"/>
          <w:sz w:val="56"/>
          <w:szCs w:val="96"/>
          <w:lang w:val="en-US" w:eastAsia="zh-CN"/>
        </w:rPr>
        <w:t>2024年“领航杯”江苏省中小学生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黑体" w:cs="Times New Roman"/>
          <w:color w:val="auto"/>
          <w:sz w:val="56"/>
          <w:szCs w:val="96"/>
          <w:lang w:val="en-US" w:eastAsia="zh-CN"/>
        </w:rPr>
      </w:pPr>
      <w:r>
        <w:rPr>
          <w:rFonts w:hint="default" w:ascii="Times New Roman" w:hAnsi="Times New Roman" w:eastAsia="黑体" w:cs="Times New Roman"/>
          <w:color w:val="auto"/>
          <w:sz w:val="56"/>
          <w:szCs w:val="96"/>
          <w:lang w:val="en-US" w:eastAsia="zh-CN"/>
        </w:rPr>
        <w:t>信息素养提升实践活动</w:t>
      </w:r>
    </w:p>
    <w:p>
      <w:pPr>
        <w:pStyle w:val="4"/>
        <w:spacing w:line="269" w:lineRule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hint="default" w:ascii="Times New Roman" w:hAnsi="Times New Roman" w:eastAsia="黑体" w:cs="Times New Roman"/>
          <w:sz w:val="47"/>
          <w:szCs w:val="47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center"/>
        <w:textAlignment w:val="baseline"/>
        <w:rPr>
          <w:rFonts w:hint="eastAsia" w:ascii="Times New Roman" w:hAnsi="Times New Roman" w:eastAsia="黑体" w:cs="Times New Roman"/>
          <w:sz w:val="47"/>
          <w:szCs w:val="47"/>
          <w:lang w:val="en-US" w:eastAsia="zh-CN"/>
        </w:rPr>
      </w:pPr>
    </w:p>
    <w:p>
      <w:pPr>
        <w:spacing w:line="360" w:lineRule="auto"/>
        <w:jc w:val="center"/>
        <w:rPr>
          <w:rFonts w:hint="default" w:ascii="Times New Roman" w:hAnsi="Times New Roman" w:eastAsia="黑体" w:cs="Times New Roman"/>
          <w:color w:val="auto"/>
          <w:sz w:val="48"/>
          <w:szCs w:val="56"/>
          <w:lang w:val="en-US" w:eastAsia="zh-CN"/>
        </w:rPr>
      </w:pPr>
      <w:r>
        <w:rPr>
          <w:rFonts w:hint="eastAsia" w:ascii="Times New Roman" w:hAnsi="Times New Roman" w:eastAsia="黑体" w:cs="Times New Roman"/>
          <w:color w:val="auto"/>
          <w:sz w:val="48"/>
          <w:szCs w:val="56"/>
          <w:lang w:val="en-US" w:eastAsia="zh-CN"/>
        </w:rPr>
        <w:t>人工智能</w:t>
      </w:r>
      <w:r>
        <w:rPr>
          <w:rFonts w:hint="default" w:ascii="Times New Roman" w:hAnsi="Times New Roman" w:eastAsia="黑体" w:cs="Times New Roman"/>
          <w:color w:val="auto"/>
          <w:sz w:val="48"/>
          <w:szCs w:val="56"/>
          <w:lang w:val="en-US" w:eastAsia="zh-CN"/>
        </w:rPr>
        <w:t>—</w:t>
      </w:r>
      <w:r>
        <w:rPr>
          <w:rFonts w:hint="eastAsia" w:ascii="Times New Roman" w:hAnsi="Times New Roman" w:eastAsia="黑体" w:cs="Times New Roman"/>
          <w:color w:val="auto"/>
          <w:sz w:val="48"/>
          <w:szCs w:val="56"/>
          <w:lang w:val="en-US" w:eastAsia="zh-CN"/>
        </w:rPr>
        <w:t>智能工厂</w:t>
      </w:r>
    </w:p>
    <w:p>
      <w:pPr>
        <w:pStyle w:val="4"/>
        <w:spacing w:line="273" w:lineRule="auto"/>
        <w:rPr>
          <w:rFonts w:hint="default" w:ascii="Times New Roman" w:hAnsi="Times New Roman" w:cs="Times New Roman"/>
        </w:rPr>
      </w:pPr>
    </w:p>
    <w:p>
      <w:pPr>
        <w:spacing w:before="231" w:line="1402" w:lineRule="exact"/>
        <w:rPr>
          <w:rFonts w:hint="default" w:ascii="Times New Roman" w:hAnsi="Times New Roman" w:eastAsia="黑体" w:cs="Times New Roman"/>
          <w:position w:val="50"/>
          <w:sz w:val="71"/>
          <w:szCs w:val="71"/>
          <w:lang w:val="en-US" w:eastAsia="zh-CN"/>
        </w:rPr>
      </w:pPr>
    </w:p>
    <w:p>
      <w:pPr>
        <w:spacing w:line="360" w:lineRule="auto"/>
        <w:jc w:val="center"/>
        <w:rPr>
          <w:rFonts w:hint="default" w:ascii="Times New Roman" w:hAnsi="Times New Roman" w:eastAsia="黑体" w:cs="Times New Roman"/>
          <w:color w:val="auto"/>
          <w:sz w:val="72"/>
          <w:szCs w:val="72"/>
          <w:lang w:val="en-US" w:eastAsia="zh-CN"/>
        </w:rPr>
      </w:pPr>
      <w:r>
        <w:rPr>
          <w:rFonts w:hint="default" w:ascii="Times New Roman" w:hAnsi="Times New Roman" w:eastAsia="黑体" w:cs="Times New Roman"/>
          <w:color w:val="auto"/>
          <w:sz w:val="72"/>
          <w:szCs w:val="72"/>
          <w:lang w:val="en-US" w:eastAsia="zh-CN"/>
        </w:rPr>
        <w:t>规</w:t>
      </w:r>
    </w:p>
    <w:p>
      <w:pPr>
        <w:spacing w:line="360" w:lineRule="auto"/>
        <w:jc w:val="center"/>
        <w:rPr>
          <w:rFonts w:hint="default" w:ascii="Times New Roman" w:hAnsi="Times New Roman" w:eastAsia="黑体" w:cs="Times New Roman"/>
          <w:color w:val="auto"/>
          <w:sz w:val="72"/>
          <w:szCs w:val="72"/>
          <w:lang w:val="en-US" w:eastAsia="zh-CN"/>
        </w:rPr>
      </w:pPr>
      <w:r>
        <w:rPr>
          <w:rFonts w:hint="default" w:ascii="Times New Roman" w:hAnsi="Times New Roman" w:eastAsia="黑体" w:cs="Times New Roman"/>
          <w:color w:val="auto"/>
          <w:sz w:val="72"/>
          <w:szCs w:val="72"/>
          <w:lang w:val="en-US" w:eastAsia="zh-CN"/>
        </w:rPr>
        <w:t>则</w:t>
      </w:r>
    </w:p>
    <w:p>
      <w:pPr>
        <w:pStyle w:val="4"/>
        <w:spacing w:line="249" w:lineRule="auto"/>
        <w:rPr>
          <w:rFonts w:hint="default" w:ascii="Times New Roman" w:hAnsi="Times New Roman" w:cs="Times New Roman"/>
        </w:rPr>
      </w:pPr>
    </w:p>
    <w:p>
      <w:pPr>
        <w:pStyle w:val="4"/>
        <w:spacing w:line="249" w:lineRule="auto"/>
        <w:rPr>
          <w:rFonts w:hint="default" w:ascii="Times New Roman" w:hAnsi="Times New Roman" w:cs="Times New Roman"/>
        </w:rPr>
      </w:pPr>
    </w:p>
    <w:p>
      <w:pPr>
        <w:pStyle w:val="4"/>
        <w:spacing w:line="249" w:lineRule="auto"/>
        <w:rPr>
          <w:rFonts w:hint="default" w:ascii="Times New Roman" w:hAnsi="Times New Roman" w:cs="Times New Roman"/>
        </w:rPr>
      </w:pPr>
    </w:p>
    <w:p>
      <w:pPr>
        <w:pStyle w:val="4"/>
        <w:spacing w:line="249" w:lineRule="auto"/>
        <w:rPr>
          <w:rFonts w:hint="default" w:ascii="Times New Roman" w:hAnsi="Times New Roman" w:cs="Times New Roman"/>
        </w:rPr>
      </w:pPr>
    </w:p>
    <w:p>
      <w:pPr>
        <w:pStyle w:val="4"/>
        <w:spacing w:line="250" w:lineRule="auto"/>
        <w:rPr>
          <w:rFonts w:hint="default" w:ascii="Times New Roman" w:hAnsi="Times New Roman" w:cs="Times New Roman"/>
        </w:rPr>
      </w:pPr>
    </w:p>
    <w:p>
      <w:pPr>
        <w:pStyle w:val="4"/>
        <w:spacing w:line="250" w:lineRule="auto"/>
        <w:rPr>
          <w:rFonts w:hint="default" w:ascii="Times New Roman" w:hAnsi="Times New Roman" w:cs="Times New Roman"/>
        </w:rPr>
      </w:pPr>
    </w:p>
    <w:p>
      <w:pPr>
        <w:pStyle w:val="4"/>
        <w:spacing w:line="250" w:lineRule="auto"/>
        <w:rPr>
          <w:rFonts w:hint="default" w:ascii="Times New Roman" w:hAnsi="Times New Roman" w:cs="Times New Roman"/>
        </w:rPr>
      </w:pPr>
    </w:p>
    <w:p>
      <w:pPr>
        <w:spacing w:line="360" w:lineRule="auto"/>
        <w:jc w:val="center"/>
        <w:rPr>
          <w:rFonts w:hint="default" w:ascii="Times New Roman" w:hAnsi="Times New Roman" w:eastAsia="黑体" w:cs="Times New Roman"/>
          <w:color w:val="auto"/>
          <w:sz w:val="44"/>
          <w:szCs w:val="52"/>
          <w:lang w:val="en-US" w:eastAsia="zh-CN"/>
        </w:rPr>
      </w:pPr>
      <w:r>
        <w:rPr>
          <w:rFonts w:hint="default" w:ascii="Times New Roman" w:hAnsi="Times New Roman" w:eastAsia="黑体" w:cs="Times New Roman"/>
          <w:color w:val="auto"/>
          <w:sz w:val="44"/>
          <w:szCs w:val="52"/>
          <w:lang w:val="en-US" w:eastAsia="zh-CN"/>
        </w:rPr>
        <w:t>江苏省电化教育馆</w:t>
      </w:r>
    </w:p>
    <w:p>
      <w:pPr>
        <w:spacing w:before="2" w:line="226" w:lineRule="auto"/>
        <w:jc w:val="center"/>
        <w:rPr>
          <w:rFonts w:hint="eastAsia" w:ascii="Times New Roman" w:hAnsi="Times New Roman" w:eastAsia="黑体" w:cs="Times New Roman"/>
          <w:sz w:val="43"/>
          <w:szCs w:val="43"/>
          <w:lang w:val="en-US" w:eastAsia="zh-CN"/>
        </w:rPr>
        <w:sectPr>
          <w:pgSz w:w="11910" w:h="16840"/>
          <w:pgMar w:top="2098" w:right="1531" w:bottom="1701" w:left="1531" w:header="0" w:footer="0" w:gutter="0"/>
          <w:cols w:space="720" w:num="1"/>
        </w:sectPr>
      </w:pPr>
      <w:r>
        <w:rPr>
          <w:rFonts w:hint="default" w:ascii="Times New Roman" w:hAnsi="Times New Roman" w:eastAsia="黑体" w:cs="Times New Roman"/>
          <w:color w:val="auto"/>
          <w:sz w:val="44"/>
          <w:szCs w:val="52"/>
          <w:lang w:val="en-US" w:eastAsia="zh-CN"/>
        </w:rPr>
        <w:t>202</w:t>
      </w:r>
      <w:r>
        <w:rPr>
          <w:rFonts w:hint="eastAsia" w:ascii="Times New Roman" w:hAnsi="Times New Roman" w:eastAsia="黑体" w:cs="Times New Roman"/>
          <w:color w:val="auto"/>
          <w:sz w:val="44"/>
          <w:szCs w:val="52"/>
          <w:lang w:val="en-US" w:eastAsia="zh-CN"/>
        </w:rPr>
        <w:t>4</w:t>
      </w:r>
      <w:r>
        <w:rPr>
          <w:rFonts w:hint="default" w:ascii="Times New Roman" w:hAnsi="Times New Roman" w:eastAsia="黑体" w:cs="Times New Roman"/>
          <w:color w:val="auto"/>
          <w:sz w:val="44"/>
          <w:szCs w:val="52"/>
          <w:lang w:val="en-US" w:eastAsia="zh-CN"/>
        </w:rPr>
        <w:t>年</w:t>
      </w:r>
      <w:r>
        <w:rPr>
          <w:rFonts w:hint="eastAsia" w:ascii="Times New Roman" w:hAnsi="Times New Roman" w:eastAsia="黑体" w:cs="Times New Roman"/>
          <w:color w:val="auto"/>
          <w:sz w:val="44"/>
          <w:szCs w:val="52"/>
          <w:lang w:val="en-US" w:eastAsia="zh-CN"/>
        </w:rPr>
        <w:t>12月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黑体" w:cs="Times New Roman"/>
          <w:b w:val="0"/>
          <w:bCs w:val="0"/>
          <w:color w:val="auto"/>
          <w:kern w:val="0"/>
          <w:sz w:val="36"/>
          <w:szCs w:val="36"/>
          <w:lang w:val="en-US" w:eastAsia="zh-CN" w:bidi="zh-CN"/>
        </w:rPr>
      </w:pPr>
      <w:r>
        <w:rPr>
          <w:rFonts w:hint="eastAsia" w:ascii="Times New Roman" w:hAnsi="Times New Roman" w:eastAsia="黑体" w:cs="Times New Roman"/>
          <w:b w:val="0"/>
          <w:bCs w:val="0"/>
          <w:color w:val="auto"/>
          <w:kern w:val="0"/>
          <w:sz w:val="36"/>
          <w:szCs w:val="36"/>
          <w:lang w:val="en-US" w:eastAsia="zh-CN" w:bidi="zh-CN"/>
        </w:rPr>
        <w:t>智能工厂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黑体" w:cs="Times New Roman"/>
          <w:b w:val="0"/>
          <w:bCs w:val="0"/>
          <w:color w:val="auto"/>
          <w:kern w:val="0"/>
          <w:sz w:val="36"/>
          <w:szCs w:val="36"/>
          <w:lang w:val="en-US" w:eastAsia="zh-CN" w:bidi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黑体" w:cs="Times New Roman"/>
          <w:b w:val="0"/>
          <w:bCs w:val="0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黑体" w:cs="Times New Roman"/>
          <w:b w:val="0"/>
          <w:bCs w:val="0"/>
          <w:color w:val="auto"/>
          <w:kern w:val="0"/>
          <w:sz w:val="32"/>
          <w:szCs w:val="32"/>
          <w:lang w:val="en-US" w:eastAsia="zh-CN" w:bidi="zh-CN"/>
        </w:rPr>
        <w:t>机器人界定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黑体" w:cs="Times New Roman"/>
          <w:b w:val="0"/>
          <w:bCs w:val="0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32"/>
          <w:szCs w:val="32"/>
          <w:lang w:val="en-US" w:eastAsia="zh-CN" w:bidi="zh-CN"/>
        </w:rPr>
        <w:t>（一）机器人硬件要求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1.参赛队每台机器人仅限使用一个可编程处理器（可编程处理器主控芯片必须为国产主控芯片），机器人直流电机最多使用2个，伺服电机最多使用2个。传感器无数量及类型限制。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2.机器人必须使用锂电池供电（不允许使用干电池），其电压不超过9V。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3.在不影响比赛的基础上，机器人可进行个性化的装饰，以增强其表现力和辨识度。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32"/>
          <w:szCs w:val="32"/>
          <w:lang w:val="en-US" w:eastAsia="zh-CN" w:bidi="zh-CN"/>
        </w:rPr>
        <w:t>（二）机器人软件要求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 xml:space="preserve">编程平台支持图形化编程，支持在Windows、Loongnix等系统上安装客户端使用，所有动作程序均需参赛队员自行编写。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黑体" w:cs="Times New Roman"/>
          <w:b w:val="0"/>
          <w:bCs w:val="0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黑体" w:cs="Times New Roman"/>
          <w:b w:val="0"/>
          <w:bCs w:val="0"/>
          <w:color w:val="auto"/>
          <w:kern w:val="0"/>
          <w:sz w:val="32"/>
          <w:szCs w:val="32"/>
          <w:lang w:val="en-US" w:eastAsia="zh-CN" w:bidi="zh-CN"/>
        </w:rPr>
        <w:t>二、主题简介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随着智能制造的不断扩张，智能工厂生产的自动化可以减少工作失误，提高生产效率，进行安全的生产。本项目使学生通过对智能车间A机器人与智能分拣B机器人的编程与调试，完成相关任务，同时了解智能工厂的基本概念以及运作流程，成功达到智能制造的“彼岸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黑体" w:cs="Times New Roman"/>
          <w:b w:val="0"/>
          <w:bCs w:val="0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黑体" w:cs="Times New Roman"/>
          <w:b w:val="0"/>
          <w:bCs w:val="0"/>
          <w:color w:val="auto"/>
          <w:kern w:val="0"/>
          <w:sz w:val="32"/>
          <w:szCs w:val="32"/>
          <w:lang w:val="en-US" w:eastAsia="zh-CN" w:bidi="zh-CN"/>
        </w:rPr>
        <w:t>三、场地与环境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32"/>
          <w:szCs w:val="32"/>
          <w:lang w:val="en-US" w:eastAsia="zh-CN" w:bidi="zh-CN"/>
        </w:rPr>
      </w:pPr>
      <w:bookmarkStart w:id="0" w:name="OLE_LINK1"/>
      <w:r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32"/>
          <w:szCs w:val="32"/>
          <w:lang w:val="en-US" w:eastAsia="zh-CN" w:bidi="zh-CN"/>
        </w:rPr>
        <w:t>（一）</w:t>
      </w:r>
      <w:bookmarkEnd w:id="0"/>
      <w:r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32"/>
          <w:szCs w:val="32"/>
          <w:lang w:val="en-US" w:eastAsia="zh-CN" w:bidi="zh-CN"/>
        </w:rPr>
        <w:t>场地构成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比赛场地为长方形，长宽尺寸是2800mm*1600mm，比赛场地四周没有围栏。场地材质是刀刮布。小学组、初中组、高中（中职）组竞赛场地如图1所示。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仿宋" w:hAnsi="仿宋" w:eastAsia="仿宋" w:cs="仿宋"/>
          <w:b w:val="0"/>
          <w:bCs w:val="0"/>
          <w:sz w:val="24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3108325" cy="1776095"/>
            <wp:effectExtent l="0" t="0" r="635" b="6985"/>
            <wp:docPr id="1" name="图片 1" descr="智能机器人场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智能机器人场地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28"/>
          <w:szCs w:val="28"/>
          <w:lang w:val="en-US" w:eastAsia="zh-CN" w:bidi="zh-CN"/>
        </w:rPr>
      </w:pPr>
      <w:r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28"/>
          <w:szCs w:val="28"/>
          <w:lang w:val="en-US" w:eastAsia="zh-CN" w:bidi="zh-CN"/>
        </w:rPr>
        <w:t>图1 小学组、初中组、高中（中职）组场地示意图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1.</w:t>
      </w:r>
      <w:r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 w:bidi="zh-CN"/>
        </w:rPr>
        <w:t>起始区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场地上有2个长350mm*宽300mm区域，分别表示智能车间A机器人与智能分拣B机器人启动与完全返回位置，机器人任意部分垂直投影不允许超出此起始区，在赛前可放置在区域内任意位置。如图7、8所示（此区域上有文字标识）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center"/>
        <w:textAlignment w:val="auto"/>
        <w:rPr>
          <w:rFonts w:hint="eastAsia" w:ascii="仿宋" w:hAnsi="仿宋" w:eastAsia="仿宋" w:cs="仿宋"/>
          <w:b/>
          <w:bCs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992880" cy="1819910"/>
            <wp:effectExtent l="0" t="0" r="7620" b="8890"/>
            <wp:docPr id="11" name="图片 11" descr="zhienng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zhienng_05"/>
                    <pic:cNvPicPr>
                      <a:picLocks noChangeAspect="1"/>
                    </pic:cNvPicPr>
                  </pic:nvPicPr>
                  <pic:blipFill>
                    <a:blip r:embed="rId5"/>
                    <a:srcRect l="8042" t="17638" r="9633" b="15667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2.原料区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场地上共有6个直径为80mm的圆形区域，分别为M01（A类原料区）*1、M02（B类原料区）*1、M03（C类原料区）*1、M04（D类原料区）*1、M05（废弃原料F区）*1、M06（废弃原料E区）*1。如图9、10、11、12、13、14所示（此区域上有文字标识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default" w:ascii="仿宋" w:hAnsi="仿宋" w:eastAsia="仿宋" w:cs="仿宋"/>
          <w:b w:val="0"/>
          <w:bCs w:val="0"/>
          <w:i w:val="0"/>
          <w:i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b w:val="0"/>
          <w:bCs w:val="0"/>
          <w:i w:val="0"/>
          <w:i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612640" cy="2521585"/>
            <wp:effectExtent l="0" t="0" r="16510" b="12065"/>
            <wp:docPr id="12" name="图片 12" descr="zhienng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zhienng_06"/>
                    <pic:cNvPicPr>
                      <a:picLocks noChangeAspect="1"/>
                    </pic:cNvPicPr>
                  </pic:nvPicPr>
                  <pic:blipFill>
                    <a:blip r:embed="rId6"/>
                    <a:srcRect l="4280" t="3579" r="4859" b="8123"/>
                    <a:stretch>
                      <a:fillRect/>
                    </a:stretch>
                  </pic:blipFill>
                  <pic:spPr>
                    <a:xfrm>
                      <a:off x="0" y="0"/>
                      <a:ext cx="461264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 w:bidi="zh-CN"/>
        </w:rPr>
        <w:t>3.M07:原料等待区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场地中仅有1个直径为120mm圆形区域，如图15所示（此区域上有文字标识）。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default" w:ascii="仿宋" w:hAnsi="仿宋" w:eastAsia="仿宋" w:cs="仿宋"/>
          <w:b w:val="0"/>
          <w:bCs w:val="0"/>
          <w:i w:val="0"/>
          <w:i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b w:val="0"/>
          <w:bCs w:val="0"/>
          <w:i w:val="0"/>
          <w:i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703580" cy="723265"/>
            <wp:effectExtent l="0" t="0" r="1270" b="635"/>
            <wp:docPr id="13" name="图片 13" descr="768075bd59c5024a630859738567b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68075bd59c5024a630859738567b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358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28"/>
          <w:szCs w:val="28"/>
          <w:lang w:val="en-US" w:eastAsia="zh-CN" w:bidi="zh-CN"/>
        </w:rPr>
      </w:pPr>
      <w:r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28"/>
          <w:szCs w:val="28"/>
          <w:lang w:val="en-US" w:eastAsia="zh-CN" w:bidi="zh-CN"/>
        </w:rPr>
        <w:t>图15 M07:原料等待区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 w:bidi="zh-CN"/>
        </w:rPr>
        <w:t>4.智能工厂车间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场地上共有6个长为200mm、宽为150mm的长方形区域，分别为（M08）智能工厂检测车间、（M09）智能工厂A车间、（M10）智能工厂B车间、（M11）智能工厂C车间、（M12）智能工厂D车间、（M13）智能工厂废弃车间。如图16、17、18、19、20、21所示（此区域上有文字标识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28"/>
          <w:szCs w:val="28"/>
          <w:lang w:val="en-US" w:eastAsia="zh-CN" w:bidi="zh-CN"/>
        </w:rPr>
      </w:pPr>
      <w:r>
        <w:rPr>
          <w:rFonts w:hint="default" w:ascii="仿宋" w:hAnsi="仿宋" w:eastAsia="仿宋" w:cs="仿宋"/>
          <w:b w:val="0"/>
          <w:b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658995" cy="2622550"/>
            <wp:effectExtent l="0" t="0" r="8255" b="6350"/>
            <wp:docPr id="14" name="图片 14" descr="zhienng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zhienng_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8995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32"/>
          <w:szCs w:val="32"/>
          <w:lang w:val="en-US" w:eastAsia="zh-CN" w:bidi="zh-CN"/>
        </w:rPr>
        <w:t>（二）赛场环境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比赛场地环境为低照度。由于一般赛场环境的不确定因素较多，例如：场地图纸不平整、地板上有裂缝、光照条件有变化等，参赛队在设计机器人时应考虑各种应对措施。比赛场地尺寸的允许误差是±10mm，参赛队设计机器人时必须充分考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32"/>
          <w:szCs w:val="32"/>
          <w:lang w:val="en-US" w:eastAsia="zh-CN" w:bidi="zh-CN"/>
        </w:rPr>
        <w:t>（三）任务道具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1.原料任务道具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A类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原料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、B类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原料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、C类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原料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、D类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原料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、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废弃E原料、废弃F原料六种。其中A类、B类、C类、D类原料边长为50mm泡沫材质正方体，废弃E原料、废弃F原料为底面直径50mm圆形，高50mm的泡沫材质圆柱体。有绿（A类原料）*1、红（B类原料）*1、黄（C类原料）*1、蓝（D类原料）*1、黑（废弃E原料）*1、黑（废弃F原料）*1，对应任务点进行摆放，初始摆放位置为任务点中心位置。如图2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8595" cy="1010285"/>
            <wp:effectExtent l="0" t="0" r="4445" b="10795"/>
            <wp:docPr id="16" name="图片 16" descr="zhienng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zhienng_07"/>
                    <pic:cNvPicPr>
                      <a:picLocks noChangeAspect="1"/>
                    </pic:cNvPicPr>
                  </pic:nvPicPr>
                  <pic:blipFill>
                    <a:blip r:embed="rId9"/>
                    <a:srcRect t="22675" b="4324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28"/>
          <w:szCs w:val="28"/>
          <w:lang w:val="en-US" w:eastAsia="zh-CN" w:bidi="zh-CN"/>
        </w:rPr>
      </w:pPr>
      <w:r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28"/>
          <w:szCs w:val="28"/>
          <w:lang w:val="en-US" w:eastAsia="zh-CN" w:bidi="zh-CN"/>
        </w:rPr>
        <w:t>图</w:t>
      </w:r>
      <w:r>
        <w:rPr>
          <w:rFonts w:hint="default" w:ascii="Times New Roman" w:hAnsi="Times New Roman" w:eastAsia="楷体" w:cs="Times New Roman"/>
          <w:b w:val="0"/>
          <w:bCs w:val="0"/>
          <w:color w:val="auto"/>
          <w:kern w:val="0"/>
          <w:sz w:val="28"/>
          <w:szCs w:val="28"/>
          <w:lang w:val="en-US" w:eastAsia="zh-CN" w:bidi="zh-CN"/>
        </w:rPr>
        <w:t>2</w:t>
      </w:r>
      <w:r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28"/>
          <w:szCs w:val="28"/>
          <w:lang w:val="en-US" w:eastAsia="zh-CN" w:bidi="zh-CN"/>
        </w:rPr>
        <w:t xml:space="preserve"> 原料任务道具示意图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2.原料区任务道具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场地上A、B、C、D原料区任务道具4个，每个尺寸为长125mm，宽110mm，高为60mm。材质为塑料。对应任务点（M01）A类原料区*1、（M02）B类原料区*1、（M03）C类原料区*1、（M04）D类原料区*1进行摆放，摆放位置对应任务点位置（粘合在图纸上），具体摆放位置如图3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123180" cy="2506980"/>
            <wp:effectExtent l="0" t="0" r="12700" b="7620"/>
            <wp:docPr id="2" name="图片 2" descr="zhienng_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zhienng_03(1)"/>
                    <pic:cNvPicPr>
                      <a:picLocks noChangeAspect="1"/>
                    </pic:cNvPicPr>
                  </pic:nvPicPr>
                  <pic:blipFill>
                    <a:blip r:embed="rId10"/>
                    <a:srcRect l="8331" b="20274"/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28"/>
          <w:szCs w:val="28"/>
          <w:lang w:val="en-US" w:eastAsia="zh-CN" w:bidi="zh-CN"/>
        </w:rPr>
      </w:pPr>
      <w:r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28"/>
          <w:szCs w:val="28"/>
          <w:lang w:val="en-US" w:eastAsia="zh-CN" w:bidi="zh-CN"/>
        </w:rPr>
        <w:t>图</w:t>
      </w:r>
      <w:r>
        <w:rPr>
          <w:rFonts w:hint="default" w:ascii="Times New Roman" w:hAnsi="Times New Roman" w:eastAsia="楷体" w:cs="Times New Roman"/>
          <w:b w:val="0"/>
          <w:bCs w:val="0"/>
          <w:color w:val="auto"/>
          <w:kern w:val="0"/>
          <w:sz w:val="28"/>
          <w:szCs w:val="28"/>
          <w:lang w:val="en-US" w:eastAsia="zh-CN" w:bidi="zh-CN"/>
        </w:rPr>
        <w:t>3</w:t>
      </w:r>
      <w:r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28"/>
          <w:szCs w:val="28"/>
          <w:lang w:val="en-US" w:eastAsia="zh-CN" w:bidi="zh-CN"/>
        </w:rPr>
        <w:t xml:space="preserve">  A类/B类/C类/D类原料区任务道具示意图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32"/>
          <w:lang w:val="en-US" w:eastAsia="zh-CN"/>
        </w:rPr>
        <w:drawing>
          <wp:inline distT="0" distB="0" distL="114300" distR="114300">
            <wp:extent cx="5043805" cy="2609850"/>
            <wp:effectExtent l="0" t="0" r="635" b="11430"/>
            <wp:docPr id="3" name="图片 3" descr="zhienng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zhienng_02"/>
                    <pic:cNvPicPr>
                      <a:picLocks noChangeAspect="1"/>
                    </pic:cNvPicPr>
                  </pic:nvPicPr>
                  <pic:blipFill>
                    <a:blip r:embed="rId11"/>
                    <a:srcRect l="7584" t="9580" b="5422"/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28"/>
          <w:szCs w:val="28"/>
          <w:lang w:val="en-US" w:eastAsia="zh-CN" w:bidi="zh-CN"/>
        </w:rPr>
      </w:pPr>
      <w:r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28"/>
          <w:szCs w:val="28"/>
          <w:lang w:val="en-US" w:eastAsia="zh-CN" w:bidi="zh-CN"/>
        </w:rPr>
        <w:t>图</w:t>
      </w:r>
      <w:r>
        <w:rPr>
          <w:rFonts w:hint="default" w:ascii="Times New Roman" w:hAnsi="Times New Roman" w:eastAsia="楷体" w:cs="Times New Roman"/>
          <w:b w:val="0"/>
          <w:bCs w:val="0"/>
          <w:color w:val="auto"/>
          <w:kern w:val="0"/>
          <w:sz w:val="28"/>
          <w:szCs w:val="28"/>
          <w:lang w:val="en-US" w:eastAsia="zh-CN" w:bidi="zh-CN"/>
        </w:rPr>
        <w:t>3</w:t>
      </w:r>
      <w:r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28"/>
          <w:szCs w:val="28"/>
          <w:lang w:val="en-US" w:eastAsia="zh-CN" w:bidi="zh-CN"/>
        </w:rPr>
        <w:t xml:space="preserve">  A类/B类/C类/D类原料区任务道具示意图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场地上废弃原料E区、废弃原料F区任务道具2个，每个尺寸为长190mm，宽100mm，高为90mm。材质为塑料。对应任务点（M05）废弃原料F区*1、（M06）废弃原料E区*1摆放，摆放位置对应任务点位置，具体摆放位置（粘合在图纸上）如图4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center"/>
        <w:textAlignment w:val="auto"/>
        <w:rPr>
          <w:rFonts w:hint="default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3368040" cy="1947545"/>
            <wp:effectExtent l="0" t="0" r="0" b="3175"/>
            <wp:docPr id="5" name="图片 5" descr="zhienng_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zhienng_04(1)"/>
                    <pic:cNvPicPr>
                      <a:picLocks noChangeAspect="1"/>
                    </pic:cNvPicPr>
                  </pic:nvPicPr>
                  <pic:blipFill>
                    <a:blip r:embed="rId12"/>
                    <a:srcRect l="8560" r="3328" b="9451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3235325" cy="2018665"/>
            <wp:effectExtent l="0" t="0" r="10795" b="8255"/>
            <wp:docPr id="6" name="图片 6" descr="zhienng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zhienng_05"/>
                    <pic:cNvPicPr>
                      <a:picLocks noChangeAspect="1"/>
                    </pic:cNvPicPr>
                  </pic:nvPicPr>
                  <pic:blipFill>
                    <a:blip r:embed="rId13"/>
                    <a:srcRect l="13841" t="3879" r="6655" b="8015"/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楷体" w:cs="Times New Roman"/>
          <w:b w:val="0"/>
          <w:bCs w:val="0"/>
          <w:color w:val="auto"/>
          <w:kern w:val="0"/>
          <w:sz w:val="28"/>
          <w:szCs w:val="28"/>
          <w:lang w:val="en-US" w:eastAsia="zh-CN" w:bidi="zh-CN"/>
        </w:rPr>
      </w:pPr>
      <w:r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28"/>
          <w:szCs w:val="28"/>
          <w:lang w:val="en-US" w:eastAsia="zh-CN" w:bidi="zh-CN"/>
        </w:rPr>
        <w:t>图</w:t>
      </w:r>
      <w:r>
        <w:rPr>
          <w:rFonts w:hint="default" w:ascii="Times New Roman" w:hAnsi="Times New Roman" w:eastAsia="楷体" w:cs="Times New Roman"/>
          <w:b w:val="0"/>
          <w:bCs w:val="0"/>
          <w:color w:val="auto"/>
          <w:kern w:val="0"/>
          <w:sz w:val="28"/>
          <w:szCs w:val="28"/>
          <w:lang w:val="en-US" w:eastAsia="zh-CN" w:bidi="zh-CN"/>
        </w:rPr>
        <w:t>4</w:t>
      </w:r>
      <w:r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28"/>
          <w:szCs w:val="28"/>
          <w:lang w:val="en-US" w:eastAsia="zh-CN" w:bidi="zh-CN"/>
        </w:rPr>
        <w:t xml:space="preserve"> 废弃原料E区/废弃原料F区任务道具示意图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3.检测装置任务道具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场地上共计1个检测装置，尺寸为长约230mm,宽约85mm，高约205mm。材质为塑料。对应（M08）智能工厂检测车间任务点进行摆放，摆放位置为任务点中心位置，具体摆放位置（粘合在竞赛场地上）如图5所示。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993765" cy="2113915"/>
            <wp:effectExtent l="0" t="0" r="10795" b="4445"/>
            <wp:docPr id="10" name="图片 10" descr="zhienng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zhienng_05"/>
                    <pic:cNvPicPr>
                      <a:picLocks noChangeAspect="1"/>
                    </pic:cNvPicPr>
                  </pic:nvPicPr>
                  <pic:blipFill>
                    <a:blip r:embed="rId14"/>
                    <a:srcRect t="14059" b="23253"/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28"/>
          <w:szCs w:val="28"/>
          <w:lang w:val="en-US" w:eastAsia="zh-CN" w:bidi="zh-CN"/>
        </w:rPr>
      </w:pPr>
      <w:r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28"/>
          <w:szCs w:val="28"/>
          <w:lang w:val="en-US" w:eastAsia="zh-CN" w:bidi="zh-CN"/>
        </w:rPr>
        <w:t>图</w:t>
      </w:r>
      <w:r>
        <w:rPr>
          <w:rFonts w:hint="default" w:ascii="Times New Roman" w:hAnsi="Times New Roman" w:eastAsia="楷体" w:cs="Times New Roman"/>
          <w:b w:val="0"/>
          <w:bCs w:val="0"/>
          <w:color w:val="auto"/>
          <w:kern w:val="0"/>
          <w:sz w:val="28"/>
          <w:szCs w:val="28"/>
          <w:lang w:val="en-US" w:eastAsia="zh-CN" w:bidi="zh-CN"/>
        </w:rPr>
        <w:t>5</w:t>
      </w:r>
      <w:r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28"/>
          <w:szCs w:val="28"/>
          <w:lang w:val="en-US" w:eastAsia="zh-CN" w:bidi="zh-CN"/>
        </w:rPr>
        <w:t xml:space="preserve"> 检测装置示意图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装置内含1个电子标签卡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（比赛开始前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，会随机写入2位数字“数据”进入电子标签卡内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）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，尺寸为长约40mm，宽约30mm，厚度约5mm，材质为塑料。距离（M08）智能工厂检测车间任务点垂直高度约为108mm，电子标签卡水平摆放固定位于任务点中心位置。如图6所示。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="仿宋" w:hAnsi="仿宋" w:eastAsia="仿宋" w:cs="仿宋"/>
          <w:b w:val="0"/>
          <w:b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450840" cy="2052320"/>
            <wp:effectExtent l="0" t="0" r="5080" b="5080"/>
            <wp:docPr id="15" name="图片 15" descr="zhienng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zhienng_06"/>
                    <pic:cNvPicPr>
                      <a:picLocks noChangeAspect="1"/>
                    </pic:cNvPicPr>
                  </pic:nvPicPr>
                  <pic:blipFill>
                    <a:blip r:embed="rId15"/>
                    <a:srcRect t="11187" b="21903"/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28"/>
          <w:szCs w:val="28"/>
          <w:lang w:val="en-US" w:eastAsia="zh-CN" w:bidi="zh-CN"/>
        </w:rPr>
      </w:pPr>
      <w:r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28"/>
          <w:szCs w:val="28"/>
          <w:lang w:val="en-US" w:eastAsia="zh-CN" w:bidi="zh-CN"/>
        </w:rPr>
        <w:t>图6 电子标签卡示意图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黑体" w:cs="Times New Roman"/>
          <w:b w:val="0"/>
          <w:bCs w:val="0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黑体" w:cs="Times New Roman"/>
          <w:b w:val="0"/>
          <w:bCs w:val="0"/>
          <w:color w:val="auto"/>
          <w:kern w:val="0"/>
          <w:sz w:val="32"/>
          <w:szCs w:val="32"/>
          <w:lang w:val="en-US" w:eastAsia="zh-CN" w:bidi="zh-CN"/>
        </w:rPr>
        <w:t>四、任务描述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小学组任务原料抽签（赛前）：竞赛场地上有A类B类C类D类4种原料，随机抽取1种原料。废弃E原料、废弃F原料2种，随机抽取1种废弃原料。作为小学组执行任务条件。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初中组任务原料抽签（赛前）：竞赛场地上有A类B类C类D类4种原料，随机抽取2种原料。废弃E原料、废弃F原料2种，随机抽取1种废弃原料。作为初中组执行任务条件。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高中（中职）组任务原料抽签（赛前）：竞赛场地上有A类B类C类D类4种原料，随机抽取3种原料。废弃E原料、废弃F原料2种，随机抽取1种废弃原料。作为高中（中职）组执行任务条件。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智能分拣B机器人：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原料智能分拣：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比赛开始后，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智能分拣B机器人从起始区出发到达相关抽签原料区，将抽签确定的原料通过智能分拣逐个抓取，逐个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运输投放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到M07（原料等待区）。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所有任务完成后，最终智能分拣B机器人完全返回起始区（机器人垂直投影全部在起始区内）。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智能车间A机器人：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原料获取：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比赛开始后，智能车间A机器人从起始区出发到达M07（原料等待区）对抽签原料进行逐个抓取。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原料检测：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抓取成功后，将抽签A类/B类/C类/D类原料逐个运输到M08（智能工厂检测车间）进行逐个检测。（智能车间A机器人对检测装置利用物联网电子标签技术进行数据读取，数据读取成功后数码管显示正确“2位数字”数据，显示3秒后自动关闭显示，视为检测成功，否则检测失败。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注：智能车间A机器人需要将A类/B类/C类/D类原料执行（M08）智能工厂检测车间检测任务，废弃E原料/废弃F原料不需要执行（M08）智能工厂检测车间检测任务。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原料加工：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检测结束后，智能车间A机器人将抽签原料逐个逐次对应输送到相关车间进行智能加工处理（智能工厂ABCD其中相关车间及智能工厂废弃车间）。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所有任务完成后，最终智能车间A机器人完全返回起始区（机器人垂直投影全部在起始区内）。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黑体" w:cs="Times New Roman"/>
          <w:b w:val="0"/>
          <w:bCs w:val="0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黑体" w:cs="Times New Roman"/>
          <w:b w:val="0"/>
          <w:bCs w:val="0"/>
          <w:color w:val="auto"/>
          <w:kern w:val="0"/>
          <w:sz w:val="32"/>
          <w:szCs w:val="32"/>
          <w:lang w:val="en-US" w:eastAsia="zh-CN" w:bidi="zh-CN"/>
        </w:rPr>
        <w:t>五、比赛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32"/>
          <w:szCs w:val="32"/>
          <w:lang w:val="en-US" w:eastAsia="zh-CN" w:bidi="zh-CN"/>
        </w:rPr>
        <w:t>（一）赛制与赛程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1.比赛连续比两轮，小学组比赛每轮时长120秒，中学组比赛每轮时长180秒。比赛时间为每支队伍完成任务所限定的起止时间，未在规定时间内完成比赛，裁判将强制结束本次比赛。最终成绩取两轮成绩之和进行排名。如果出现局部并列的排名，按如下顺序决定先后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（1）所有场次总用时少的队在前。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（2）单场成绩高的队在前。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（3）单场最高成绩的用时短的队在前。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2.比赛分3个阶段，调试阶段、机器人封存阶段、竞赛阶段。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3.调试阶段：总时长90分钟，参赛选手调试机器人。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4.机器人封存阶段：编程与调试结束后，参赛选手由裁判员协助在机器人醒目处张贴队伍编号后，上交机器人统一封存。比赛结束后参赛队伍取回参赛设备。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5.参赛队员可以携带已搭建的2台机器人进入调试区。队员不得携带U盘、光盘、无线路由器、手机、相机等存储和通信器材。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楷体" w:cs="Times New Roman"/>
          <w:b w:val="0"/>
          <w:bCs w:val="0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32"/>
          <w:szCs w:val="32"/>
          <w:lang w:val="en-US" w:eastAsia="zh-CN" w:bidi="zh-CN"/>
        </w:rPr>
        <w:t>（二）正式比赛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1.裁判员确认两个参赛队员均已准备好后，将发出“3、2、1，开始”的倒计数启动口令。随着倒计时的开始，2名操作手听到开始命令的第一个字，即可以开始启动设备进行比赛（同时启动设备）。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2.一场比赛结束后，裁判在下场比赛前复原场地所有道具。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3.在任务所限定的时间内无暂停，行驶过程中参赛设备零件出现脱落，在不影响比赛的前提下，参赛选手可以请求裁判取回脱落件。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4.在“开始”命令前启动机器人将被视为“误启动”并受到警告或犯规处罚。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5.比赛过程中如果参赛选手触碰机器人，立刻终止比赛，之前得分记为有效得分。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6.参赛队确认准备好后须举手示意，裁判员发出指令后，选手方可启动机器人。在裁判员发出指令前启动机器人将受到警告或犯规处罚。机器人一旦离开启动区，选手不能再触碰机器人。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32"/>
          <w:szCs w:val="32"/>
          <w:lang w:val="en-US" w:eastAsia="zh-CN" w:bidi="zh-CN"/>
        </w:rPr>
        <w:t>（三）计分标准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关于任务道具物块进入的标准主要分为三类：完全进入（包含压线），不完全进入，完全不在区域。如图22所示。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266690" cy="2281555"/>
            <wp:effectExtent l="0" t="0" r="10160" b="4445"/>
            <wp:docPr id="7" name="图片 7" descr="演示文稿1_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演示文稿1_01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4"/>
          <w:szCs w:val="32"/>
          <w:lang w:val="en-US" w:eastAsia="zh-CN"/>
        </w:rPr>
      </w:pPr>
      <w:r>
        <w:rPr>
          <w:rFonts w:hint="eastAsia" w:ascii="Times New Roman" w:hAnsi="Times New Roman" w:eastAsia="楷体" w:cs="Times New Roman"/>
          <w:b w:val="0"/>
          <w:bCs w:val="0"/>
          <w:color w:val="auto"/>
          <w:kern w:val="0"/>
          <w:sz w:val="28"/>
          <w:szCs w:val="28"/>
          <w:lang w:val="en-US" w:eastAsia="zh-CN" w:bidi="zh-CN"/>
        </w:rPr>
        <w:t>图22 “进入标准”示意图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1.智能车间A机器人成功启动得10分；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2.智能分拣B机器人成功启动得10分；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3.智能分拣B机器人到达原料区抓取抽签原料成功得5分/个；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both"/>
        <w:textAlignment w:val="baseline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4.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智能分拣B机器人将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抽签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原料逐个投放到（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M07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）原料等待区得10分/个（完全进入得10分/个，不完全进入得5分/个）；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both"/>
        <w:textAlignment w:val="baseline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5.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智能车间A机器人逐次成功到达（M0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7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）原料等待区抓取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装载抽签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原料得10分/个（抓取装载成功得10分/个，成功到达抓取装载失败得5分/个）；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6.智能车间A机器人将A类/B类/C类/D类原料逐个运输到（M08）智能工厂检测车间成功进行检测得10分/个，检测失败得5分/个；（智能车间A机器人对检测装置利用物联网电子标签技术进行数据读取，数据读取成功后数码管显示正确“2位数字”数据，显示3秒后自动关闭显示，视为检测成功，否则检测失败。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7.智能车间A机器人将抽签原料逐个对应运输到对应智能车间进行智能加工得10分；（完全进入得10分/个，不完全进入得5分/个）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8.智能车间A机器人所有任务完成后，完全返回起始区得10分；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rightChars="0" w:firstLine="640" w:firstLineChars="200"/>
        <w:jc w:val="both"/>
        <w:textAlignment w:val="baseline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zh-CN"/>
        </w:rPr>
        <w:t>9.智能分拣B机器人所有任务完成后，完全返回起始区得10分；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4"/>
          <w:szCs w:val="32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仿宋" w:hAnsi="仿宋" w:eastAsia="仿宋" w:cs="仿宋"/>
          <w:b w:val="0"/>
          <w:b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1" w:name="_GoBack"/>
      <w:bookmarkEnd w:id="1"/>
    </w:p>
    <w:p>
      <w:pPr>
        <w:pStyle w:val="4"/>
        <w:widowControl/>
        <w:kinsoku w:val="0"/>
        <w:autoSpaceDE w:val="0"/>
        <w:autoSpaceDN w:val="0"/>
        <w:adjustRightInd w:val="0"/>
        <w:snapToGrid w:val="0"/>
        <w:spacing w:line="369" w:lineRule="auto"/>
        <w:jc w:val="center"/>
        <w:textAlignment w:val="baseline"/>
        <w:rPr>
          <w:rFonts w:hint="eastAsia" w:ascii="Times New Roman" w:hAnsi="Times New Roman" w:eastAsia="黑体" w:cs="Times New Roman"/>
          <w:snapToGrid w:val="0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snapToGrid w:val="0"/>
          <w:color w:val="auto"/>
          <w:kern w:val="0"/>
          <w:sz w:val="32"/>
          <w:szCs w:val="32"/>
          <w:lang w:val="en-US" w:eastAsia="zh-CN" w:bidi="ar-SA"/>
        </w:rPr>
        <w:t>智能工厂竞赛计分表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仿宋" w:hAnsi="仿宋" w:eastAsia="仿宋" w:cs="仿宋"/>
          <w:sz w:val="24"/>
          <w:szCs w:val="32"/>
          <w:u w:val="singl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24"/>
          <w:szCs w:val="24"/>
          <w:lang w:val="en-US" w:eastAsia="zh-CN" w:bidi="zh-CN"/>
        </w:rPr>
        <w:t>组别</w:t>
      </w: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：</w:t>
      </w:r>
      <w:r>
        <w:rPr>
          <w:rFonts w:hint="eastAsia" w:ascii="仿宋" w:hAnsi="仿宋" w:eastAsia="仿宋" w:cs="仿宋"/>
          <w:sz w:val="24"/>
          <w:szCs w:val="32"/>
          <w:u w:val="single"/>
          <w:lang w:val="en-US" w:eastAsia="zh-CN"/>
        </w:rPr>
        <w:t xml:space="preserve">             </w:t>
      </w:r>
      <w:r>
        <w:rPr>
          <w:rFonts w:hint="eastAsia" w:ascii="Times New Roman" w:hAnsi="Times New Roman" w:eastAsia="仿宋_GB2312" w:cs="Times New Roman"/>
          <w:color w:val="auto"/>
          <w:kern w:val="0"/>
          <w:sz w:val="24"/>
          <w:szCs w:val="24"/>
          <w:lang w:val="en-US" w:eastAsia="zh-CN" w:bidi="zh-CN"/>
        </w:rPr>
        <w:t>参赛学校</w:t>
      </w: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：</w:t>
      </w:r>
      <w:r>
        <w:rPr>
          <w:rFonts w:hint="eastAsia" w:ascii="仿宋" w:hAnsi="仿宋" w:eastAsia="仿宋" w:cs="仿宋"/>
          <w:sz w:val="24"/>
          <w:szCs w:val="32"/>
          <w:u w:val="single"/>
          <w:lang w:val="en-US" w:eastAsia="zh-CN"/>
        </w:rPr>
        <w:t xml:space="preserve">               </w:t>
      </w: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仿宋_GB2312" w:cs="Times New Roman"/>
          <w:color w:val="auto"/>
          <w:kern w:val="0"/>
          <w:sz w:val="24"/>
          <w:szCs w:val="24"/>
          <w:lang w:val="en-US" w:eastAsia="zh-CN" w:bidi="zh-CN"/>
        </w:rPr>
        <w:t>队伍编号</w:t>
      </w: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：</w:t>
      </w:r>
      <w:r>
        <w:rPr>
          <w:rFonts w:hint="eastAsia" w:ascii="仿宋" w:hAnsi="仿宋" w:eastAsia="仿宋" w:cs="仿宋"/>
          <w:sz w:val="24"/>
          <w:szCs w:val="32"/>
          <w:u w:val="single"/>
          <w:lang w:val="en-US" w:eastAsia="zh-CN"/>
        </w:rPr>
        <w:t xml:space="preserve">               </w:t>
      </w:r>
    </w:p>
    <w:tbl>
      <w:tblPr>
        <w:tblStyle w:val="6"/>
        <w:tblW w:w="9770" w:type="dxa"/>
        <w:tblInd w:w="-6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0"/>
        <w:gridCol w:w="2450"/>
        <w:gridCol w:w="1873"/>
        <w:gridCol w:w="1097"/>
        <w:gridCol w:w="1090"/>
        <w:gridCol w:w="790"/>
        <w:gridCol w:w="1170"/>
        <w:gridCol w:w="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序号</w:t>
            </w:r>
          </w:p>
        </w:tc>
        <w:tc>
          <w:tcPr>
            <w:tcW w:w="4323" w:type="dxa"/>
            <w:gridSpan w:val="2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任务要求</w:t>
            </w:r>
          </w:p>
        </w:tc>
        <w:tc>
          <w:tcPr>
            <w:tcW w:w="1097" w:type="dxa"/>
            <w:vMerge w:val="restar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分值</w:t>
            </w:r>
          </w:p>
        </w:tc>
        <w:tc>
          <w:tcPr>
            <w:tcW w:w="18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第一轮比赛</w:t>
            </w:r>
          </w:p>
        </w:tc>
        <w:tc>
          <w:tcPr>
            <w:tcW w:w="1950" w:type="dxa"/>
            <w:gridSpan w:val="2"/>
            <w:tcBorders>
              <w:left w:val="doub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第二轮比赛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52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4323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1097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数量/个</w:t>
            </w: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得分</w:t>
            </w:r>
          </w:p>
        </w:tc>
        <w:tc>
          <w:tcPr>
            <w:tcW w:w="1170" w:type="dxa"/>
            <w:tcBorders>
              <w:left w:val="doub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数量/个</w:t>
            </w:r>
          </w:p>
        </w:tc>
        <w:tc>
          <w:tcPr>
            <w:tcW w:w="7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1</w:t>
            </w:r>
          </w:p>
        </w:tc>
        <w:tc>
          <w:tcPr>
            <w:tcW w:w="4323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智能车间A机器人成功启动；</w:t>
            </w:r>
          </w:p>
        </w:tc>
        <w:tc>
          <w:tcPr>
            <w:tcW w:w="109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10分</w:t>
            </w:r>
          </w:p>
        </w:tc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1170" w:type="dxa"/>
            <w:tcBorders>
              <w:left w:val="doub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7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2</w:t>
            </w:r>
          </w:p>
        </w:tc>
        <w:tc>
          <w:tcPr>
            <w:tcW w:w="4323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智能分拣B机器人成功启动；</w:t>
            </w:r>
          </w:p>
        </w:tc>
        <w:tc>
          <w:tcPr>
            <w:tcW w:w="109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10分</w:t>
            </w:r>
          </w:p>
        </w:tc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1170" w:type="dxa"/>
            <w:tcBorders>
              <w:left w:val="doub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7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5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3</w:t>
            </w:r>
          </w:p>
        </w:tc>
        <w:tc>
          <w:tcPr>
            <w:tcW w:w="4323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智能分拣B机器人到达原料区抓取抽签原料成功；</w:t>
            </w:r>
          </w:p>
        </w:tc>
        <w:tc>
          <w:tcPr>
            <w:tcW w:w="109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5分/个</w:t>
            </w:r>
          </w:p>
        </w:tc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1170" w:type="dxa"/>
            <w:tcBorders>
              <w:left w:val="doub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7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4</w:t>
            </w:r>
          </w:p>
        </w:tc>
        <w:tc>
          <w:tcPr>
            <w:tcW w:w="4323" w:type="dxa"/>
            <w:gridSpan w:val="2"/>
            <w:vMerge w:val="restar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智能分拣B机器人将抽签原料逐个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运输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投放到 （M07）原料等待区；（完全进入得10分/个，不完全进入得5分/个）</w:t>
            </w:r>
          </w:p>
        </w:tc>
        <w:tc>
          <w:tcPr>
            <w:tcW w:w="109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10分/个</w:t>
            </w:r>
          </w:p>
        </w:tc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1170" w:type="dxa"/>
            <w:tcBorders>
              <w:left w:val="doub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7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4323" w:type="dxa"/>
            <w:gridSpan w:val="2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109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5分/个</w:t>
            </w:r>
          </w:p>
        </w:tc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1170" w:type="dxa"/>
            <w:tcBorders>
              <w:left w:val="doub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7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</w:trPr>
        <w:tc>
          <w:tcPr>
            <w:tcW w:w="52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5</w:t>
            </w:r>
          </w:p>
        </w:tc>
        <w:tc>
          <w:tcPr>
            <w:tcW w:w="4323" w:type="dxa"/>
            <w:gridSpan w:val="2"/>
            <w:vMerge w:val="restar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智能车间A机器人逐次成功到达（M07）原料等待区抓取装载抽签原料；（抓取装载成功得10分/个，成功到达抓取装载失败得5分/个）</w:t>
            </w:r>
          </w:p>
        </w:tc>
        <w:tc>
          <w:tcPr>
            <w:tcW w:w="109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10分/个</w:t>
            </w:r>
          </w:p>
        </w:tc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1170" w:type="dxa"/>
            <w:tcBorders>
              <w:left w:val="doub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7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4323" w:type="dxa"/>
            <w:gridSpan w:val="2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109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5分/个</w:t>
            </w:r>
          </w:p>
        </w:tc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1170" w:type="dxa"/>
            <w:tcBorders>
              <w:left w:val="doub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7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</w:trPr>
        <w:tc>
          <w:tcPr>
            <w:tcW w:w="52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6</w:t>
            </w:r>
          </w:p>
        </w:tc>
        <w:tc>
          <w:tcPr>
            <w:tcW w:w="4323" w:type="dxa"/>
            <w:gridSpan w:val="2"/>
            <w:vMerge w:val="restar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智能车间A机器人将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A类/B类/C类/D类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原料逐个运输到（M08）智能工厂检测车间成功进行检测得10分/个，检测失败得5分/个；</w:t>
            </w:r>
          </w:p>
        </w:tc>
        <w:tc>
          <w:tcPr>
            <w:tcW w:w="109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10分/个</w:t>
            </w:r>
          </w:p>
        </w:tc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1170" w:type="dxa"/>
            <w:tcBorders>
              <w:left w:val="doub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7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4323" w:type="dxa"/>
            <w:gridSpan w:val="2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109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5分/个</w:t>
            </w:r>
          </w:p>
        </w:tc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1170" w:type="dxa"/>
            <w:tcBorders>
              <w:left w:val="doub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7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52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7</w:t>
            </w:r>
          </w:p>
        </w:tc>
        <w:tc>
          <w:tcPr>
            <w:tcW w:w="4323" w:type="dxa"/>
            <w:gridSpan w:val="2"/>
            <w:vMerge w:val="restar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智能车间A机器人将抽签原料逐个对应运输到对应智能车间进行智能加工；（完全进入得10分/个，不完全进入得5分/个）</w:t>
            </w:r>
          </w:p>
        </w:tc>
        <w:tc>
          <w:tcPr>
            <w:tcW w:w="109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10分/个</w:t>
            </w:r>
          </w:p>
        </w:tc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1170" w:type="dxa"/>
            <w:tcBorders>
              <w:left w:val="doub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7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4323" w:type="dxa"/>
            <w:gridSpan w:val="2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109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5分/个</w:t>
            </w:r>
          </w:p>
        </w:tc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1170" w:type="dxa"/>
            <w:tcBorders>
              <w:left w:val="doub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7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8</w:t>
            </w:r>
          </w:p>
        </w:tc>
        <w:tc>
          <w:tcPr>
            <w:tcW w:w="4323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智能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车间A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机器人所有任务完成后，完全返回起始区；</w:t>
            </w:r>
          </w:p>
        </w:tc>
        <w:tc>
          <w:tcPr>
            <w:tcW w:w="109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10分</w:t>
            </w:r>
          </w:p>
        </w:tc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1170" w:type="dxa"/>
            <w:tcBorders>
              <w:left w:val="doub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7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9</w:t>
            </w:r>
          </w:p>
        </w:tc>
        <w:tc>
          <w:tcPr>
            <w:tcW w:w="4323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智能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分拣B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机器人所有任务完成后，完全返回起始区；</w:t>
            </w:r>
          </w:p>
        </w:tc>
        <w:tc>
          <w:tcPr>
            <w:tcW w:w="109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10分</w:t>
            </w:r>
          </w:p>
        </w:tc>
        <w:tc>
          <w:tcPr>
            <w:tcW w:w="1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doub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1170" w:type="dxa"/>
            <w:tcBorders>
              <w:left w:val="doub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7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40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每轮得分</w:t>
            </w:r>
          </w:p>
        </w:tc>
        <w:tc>
          <w:tcPr>
            <w:tcW w:w="1880" w:type="dxa"/>
            <w:gridSpan w:val="2"/>
            <w:tcBorders>
              <w:top w:val="single" w:color="auto" w:sz="4" w:space="0"/>
              <w:bottom w:val="single" w:color="auto" w:sz="4" w:space="0"/>
              <w:right w:val="doub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1950" w:type="dxa"/>
            <w:gridSpan w:val="2"/>
            <w:tcBorders>
              <w:left w:val="doub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40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每轮时长/秒</w:t>
            </w:r>
          </w:p>
        </w:tc>
        <w:tc>
          <w:tcPr>
            <w:tcW w:w="1880" w:type="dxa"/>
            <w:gridSpan w:val="2"/>
            <w:tcBorders>
              <w:top w:val="single" w:color="auto" w:sz="4" w:space="0"/>
              <w:right w:val="doub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1950" w:type="dxa"/>
            <w:gridSpan w:val="2"/>
            <w:tcBorders>
              <w:left w:val="doub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40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两轮总分合计</w:t>
            </w:r>
          </w:p>
        </w:tc>
        <w:tc>
          <w:tcPr>
            <w:tcW w:w="3830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40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两轮总时长合计/秒</w:t>
            </w:r>
          </w:p>
        </w:tc>
        <w:tc>
          <w:tcPr>
            <w:tcW w:w="3830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70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本人已确认以上比赛得分记录结果，真实有效，无任何异议。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裁判员签字：</w:t>
            </w:r>
          </w:p>
        </w:tc>
        <w:tc>
          <w:tcPr>
            <w:tcW w:w="6800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参赛员签字：</w:t>
            </w:r>
          </w:p>
        </w:tc>
        <w:tc>
          <w:tcPr>
            <w:tcW w:w="6800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  <w:t>问题及备注：</w:t>
            </w:r>
          </w:p>
        </w:tc>
        <w:tc>
          <w:tcPr>
            <w:tcW w:w="6800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仿宋" w:hAnsi="仿宋" w:eastAsia="仿宋" w:cs="仿宋"/>
          <w:b w:val="0"/>
          <w:b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2098" w:right="1531" w:bottom="1701" w:left="153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AE0C6B9"/>
    <w:multiLevelType w:val="singleLevel"/>
    <w:tmpl w:val="6AE0C6B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0MDlhZDNiODZmYzU0ZmUyMGRkZjM0ZmM0MzkxMDcifQ=="/>
    <w:docVar w:name="KSO_WPS_MARK_KEY" w:val="05a076b7-0f30-4ca5-9361-f66daeac17ee"/>
  </w:docVars>
  <w:rsids>
    <w:rsidRoot w:val="0B376272"/>
    <w:rsid w:val="01EF03CB"/>
    <w:rsid w:val="024D7D89"/>
    <w:rsid w:val="0678449C"/>
    <w:rsid w:val="07B101C2"/>
    <w:rsid w:val="08214C41"/>
    <w:rsid w:val="08986B20"/>
    <w:rsid w:val="08B020BC"/>
    <w:rsid w:val="08DC4C5E"/>
    <w:rsid w:val="09A57BC8"/>
    <w:rsid w:val="0B376272"/>
    <w:rsid w:val="0B811AED"/>
    <w:rsid w:val="0C2C7CAB"/>
    <w:rsid w:val="0C6A3D26"/>
    <w:rsid w:val="0C7803BC"/>
    <w:rsid w:val="0CC55A09"/>
    <w:rsid w:val="1139399F"/>
    <w:rsid w:val="1303161F"/>
    <w:rsid w:val="14B20F69"/>
    <w:rsid w:val="167128B2"/>
    <w:rsid w:val="1FA441FA"/>
    <w:rsid w:val="22CF718A"/>
    <w:rsid w:val="26715674"/>
    <w:rsid w:val="2A8C6B5D"/>
    <w:rsid w:val="2C277E37"/>
    <w:rsid w:val="2FD04AFC"/>
    <w:rsid w:val="32B46E89"/>
    <w:rsid w:val="3397318A"/>
    <w:rsid w:val="347B4A7C"/>
    <w:rsid w:val="347B6474"/>
    <w:rsid w:val="35602E1D"/>
    <w:rsid w:val="3AD27897"/>
    <w:rsid w:val="3B7364AD"/>
    <w:rsid w:val="438A4CDB"/>
    <w:rsid w:val="46A97462"/>
    <w:rsid w:val="489932CB"/>
    <w:rsid w:val="49861992"/>
    <w:rsid w:val="4A5F223B"/>
    <w:rsid w:val="519D0A9F"/>
    <w:rsid w:val="52642B9B"/>
    <w:rsid w:val="53D37FD9"/>
    <w:rsid w:val="552C0091"/>
    <w:rsid w:val="55CB6837"/>
    <w:rsid w:val="562543F0"/>
    <w:rsid w:val="56D40D52"/>
    <w:rsid w:val="59487C5D"/>
    <w:rsid w:val="5A690D4F"/>
    <w:rsid w:val="5A8E35D0"/>
    <w:rsid w:val="5B6C3892"/>
    <w:rsid w:val="5CBF01A8"/>
    <w:rsid w:val="5F59200A"/>
    <w:rsid w:val="61E6342A"/>
    <w:rsid w:val="640815D9"/>
    <w:rsid w:val="68582F27"/>
    <w:rsid w:val="6B35615A"/>
    <w:rsid w:val="6C083654"/>
    <w:rsid w:val="6D1E3975"/>
    <w:rsid w:val="7057040C"/>
    <w:rsid w:val="745D771F"/>
    <w:rsid w:val="7A6E0472"/>
    <w:rsid w:val="7AE656F6"/>
    <w:rsid w:val="7B1A4F51"/>
    <w:rsid w:val="7B450F0D"/>
    <w:rsid w:val="7D60202E"/>
    <w:rsid w:val="7DB83C18"/>
    <w:rsid w:val="7E325778"/>
    <w:rsid w:val="7EB7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spacing w:line="569" w:lineRule="exact"/>
      <w:ind w:left="1061" w:right="1075"/>
      <w:jc w:val="center"/>
      <w:outlineLvl w:val="0"/>
    </w:pPr>
    <w:rPr>
      <w:rFonts w:ascii="Microsoft JhengHei" w:hAnsi="Microsoft JhengHei" w:eastAsia="Microsoft JhengHei" w:cs="Microsoft JhengHei"/>
      <w:b/>
      <w:bCs/>
      <w:sz w:val="36"/>
      <w:szCs w:val="36"/>
    </w:rPr>
  </w:style>
  <w:style w:type="paragraph" w:styleId="3">
    <w:name w:val="heading 4"/>
    <w:basedOn w:val="1"/>
    <w:next w:val="1"/>
    <w:qFormat/>
    <w:uiPriority w:val="1"/>
    <w:pPr>
      <w:ind w:left="877" w:hanging="430"/>
      <w:outlineLvl w:val="3"/>
    </w:pPr>
    <w:rPr>
      <w:rFonts w:ascii="Microsoft JhengHei" w:hAnsi="Microsoft JhengHei" w:eastAsia="Microsoft JhengHei" w:cs="Microsoft JhengHei"/>
      <w:b/>
      <w:bCs/>
      <w:sz w:val="24"/>
      <w:szCs w:val="2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4153</Words>
  <Characters>4450</Characters>
  <Lines>0</Lines>
  <Paragraphs>0</Paragraphs>
  <TotalTime>1</TotalTime>
  <ScaleCrop>false</ScaleCrop>
  <LinksUpToDate>false</LinksUpToDate>
  <CharactersWithSpaces>4511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2023-11-01T08:48:00Z</dcterms:created>
  <dc:creator>大鹏</dc:creator>
  <cp:lastModifiedBy>沈源</cp:lastModifiedBy>
  <dcterms:modified xsi:type="dcterms:W3CDTF">2024-01-03T08:04:37Z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66C02C2AA67246CA909499A046F9135F_13</vt:lpwstr>
  </property>
</Properties>
</file>