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Times New Roman" w:hAnsi="Times New Roman" w:eastAsia="黑体" w:cs="Times New Roman"/>
          <w:sz w:val="56"/>
          <w:szCs w:val="96"/>
        </w:rPr>
      </w:pPr>
      <w:bookmarkStart w:id="0" w:name="_bookmark1"/>
      <w:bookmarkEnd w:id="0"/>
      <w:bookmarkStart w:id="1" w:name="_Toc29672"/>
      <w:r>
        <w:rPr>
          <w:rFonts w:ascii="Times New Roman" w:hAnsi="Times New Roman" w:eastAsia="黑体" w:cs="Times New Roman"/>
          <w:sz w:val="56"/>
          <w:szCs w:val="96"/>
        </w:rPr>
        <w:t>2024年“领航杯”江苏省中小学生信息素养提升实践活动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56"/>
          <w:szCs w:val="96"/>
        </w:rPr>
      </w:pPr>
    </w:p>
    <w:p>
      <w:pPr>
        <w:spacing w:line="360" w:lineRule="auto"/>
        <w:jc w:val="center"/>
        <w:rPr>
          <w:rFonts w:hint="default" w:ascii="Times New Roman" w:hAnsi="Times New Roman" w:eastAsia="黑体" w:cs="Times New Roman"/>
          <w:sz w:val="48"/>
          <w:szCs w:val="56"/>
          <w:lang w:val="en-US"/>
        </w:rPr>
      </w:pPr>
      <w:r>
        <w:rPr>
          <w:rFonts w:hint="eastAsia" w:ascii="Times New Roman" w:hAnsi="Times New Roman" w:eastAsia="黑体" w:cs="Times New Roman"/>
          <w:sz w:val="48"/>
          <w:szCs w:val="56"/>
          <w:lang w:val="en-US" w:eastAsia="zh-CN"/>
        </w:rPr>
        <w:t>智能机器人—GAR火星移民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48"/>
          <w:szCs w:val="56"/>
        </w:rPr>
      </w:pPr>
    </w:p>
    <w:p>
      <w:pPr>
        <w:spacing w:line="360" w:lineRule="auto"/>
        <w:jc w:val="center"/>
        <w:rPr>
          <w:rFonts w:ascii="Times New Roman" w:hAnsi="Times New Roman" w:eastAsia="黑体" w:cs="Times New Roman"/>
          <w:sz w:val="72"/>
          <w:szCs w:val="72"/>
        </w:rPr>
      </w:pPr>
      <w:r>
        <w:rPr>
          <w:rFonts w:ascii="Times New Roman" w:hAnsi="Times New Roman" w:eastAsia="黑体" w:cs="Times New Roman"/>
          <w:sz w:val="72"/>
          <w:szCs w:val="72"/>
        </w:rPr>
        <w:t>规</w:t>
      </w:r>
    </w:p>
    <w:p>
      <w:pPr>
        <w:spacing w:line="360" w:lineRule="auto"/>
        <w:jc w:val="center"/>
        <w:rPr>
          <w:rFonts w:ascii="Times New Roman" w:hAnsi="Times New Roman" w:eastAsia="黑体" w:cs="Times New Roman"/>
          <w:sz w:val="72"/>
          <w:szCs w:val="72"/>
        </w:rPr>
      </w:pPr>
      <w:r>
        <w:rPr>
          <w:rFonts w:ascii="Times New Roman" w:hAnsi="Times New Roman" w:eastAsia="黑体" w:cs="Times New Roman"/>
          <w:sz w:val="72"/>
          <w:szCs w:val="72"/>
        </w:rPr>
        <w:t>则</w:t>
      </w:r>
    </w:p>
    <w:p>
      <w:pPr>
        <w:spacing w:line="360" w:lineRule="auto"/>
        <w:jc w:val="both"/>
        <w:rPr>
          <w:rFonts w:hint="eastAsia" w:ascii="Times New Roman" w:hAnsi="Times New Roman" w:eastAsia="黑体" w:cs="Times New Roman"/>
          <w:sz w:val="72"/>
          <w:szCs w:val="72"/>
          <w:lang w:val="en-US"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="黑体" w:cs="Times New Roman"/>
          <w:sz w:val="72"/>
          <w:szCs w:val="72"/>
          <w:lang w:val="en-US" w:eastAsia="zh-CN"/>
        </w:rPr>
      </w:pPr>
    </w:p>
    <w:p>
      <w:pPr>
        <w:spacing w:line="360" w:lineRule="auto"/>
        <w:jc w:val="center"/>
        <w:rPr>
          <w:rFonts w:ascii="Times New Roman" w:hAnsi="Times New Roman" w:eastAsia="黑体" w:cs="Times New Roman"/>
          <w:sz w:val="44"/>
          <w:szCs w:val="52"/>
        </w:rPr>
      </w:pPr>
      <w:r>
        <w:rPr>
          <w:rFonts w:ascii="Times New Roman" w:hAnsi="Times New Roman" w:eastAsia="黑体" w:cs="Times New Roman"/>
          <w:sz w:val="44"/>
          <w:szCs w:val="52"/>
        </w:rPr>
        <w:t>江苏省电化教育馆</w:t>
      </w:r>
    </w:p>
    <w:p>
      <w:pPr>
        <w:spacing w:line="360" w:lineRule="auto"/>
        <w:jc w:val="center"/>
        <w:rPr>
          <w:rFonts w:ascii="Times New Roman" w:hAnsi="Times New Roman" w:eastAsia="仿宋" w:cs="Times New Roman"/>
          <w:sz w:val="30"/>
          <w:szCs w:val="30"/>
          <w14:textOutline w14:w="6540" w14:cap="sq" w14:cmpd="sng" w14:algn="ctr">
            <w14:solidFill>
              <w14:srgbClr w14:val="000000"/>
            </w14:solidFill>
            <w14:prstDash w14:val="solid"/>
            <w14:bevel/>
          </w14:textOutline>
        </w:rPr>
        <w:sectPr>
          <w:footerReference r:id="rId3" w:type="default"/>
          <w:pgSz w:w="11910" w:h="16840"/>
          <w:pgMar w:top="2268" w:right="1134" w:bottom="2268" w:left="1134" w:header="0" w:footer="981" w:gutter="0"/>
          <w:pgNumType w:fmt="numberInDash"/>
          <w:cols w:space="0" w:num="1"/>
        </w:sectPr>
      </w:pPr>
      <w:r>
        <w:rPr>
          <w:rFonts w:ascii="Times New Roman" w:hAnsi="Times New Roman" w:eastAsia="黑体" w:cs="Times New Roman"/>
          <w:sz w:val="44"/>
          <w:szCs w:val="52"/>
        </w:rPr>
        <w:t>2023年12月</w:t>
      </w:r>
    </w:p>
    <w:p>
      <w:pPr>
        <w:pStyle w:val="2"/>
        <w:autoSpaceDE w:val="0"/>
        <w:autoSpaceDN w:val="0"/>
        <w:adjustRightInd w:val="0"/>
        <w:snapToGrid w:val="0"/>
        <w:spacing w:line="560" w:lineRule="exact"/>
        <w:ind w:left="0" w:right="0" w:firstLine="720" w:firstLineChars="200"/>
        <w:rPr>
          <w:rFonts w:ascii="Times New Roman" w:hAnsi="Times New Roman" w:eastAsia="黑体" w:cs="Times New Roman"/>
          <w:b w:val="0"/>
          <w:bCs w:val="0"/>
          <w:kern w:val="0"/>
          <w:lang w:bidi="zh-CN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0"/>
          <w:lang w:bidi="zh-CN"/>
        </w:rPr>
        <w:t>智能机器人——GAR火星移民</w:t>
      </w:r>
    </w:p>
    <w:p>
      <w:pPr>
        <w:adjustRightInd w:val="0"/>
        <w:snapToGrid w:val="0"/>
        <w:spacing w:line="560" w:lineRule="exact"/>
        <w:ind w:firstLine="420" w:firstLineChars="200"/>
        <w:rPr>
          <w:rFonts w:ascii="Times New Roman" w:hAnsi="Times New Roman" w:cs="Times New Roman"/>
        </w:rPr>
      </w:pPr>
    </w:p>
    <w:p>
      <w:pPr>
        <w:pStyle w:val="3"/>
        <w:tabs>
          <w:tab w:val="left" w:pos="876"/>
        </w:tabs>
        <w:autoSpaceDE w:val="0"/>
        <w:autoSpaceDN w:val="0"/>
        <w:adjustRightInd w:val="0"/>
        <w:snapToGrid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bookmarkStart w:id="2" w:name="_Toc19689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一、竞赛器材</w:t>
      </w:r>
      <w:bookmarkEnd w:id="2"/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1.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每支队伍一台机器人，机器人的最大尺寸为 300 mm * 300 mm * 300 mm。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2.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核心模块（控制器、电池、视觉、电机、舵机、显示屏及以上模块匹配的线缆）最多各备用1个。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3.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限使用1个控制器。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4.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当电机用于驱动轮时，限单个电机独立驱动单个着地的轮子。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5.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机器人结构须使用塑料积木件搭建，积木必须使用8mm搭建体系。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6.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不得使用3D打印或激光切割的方式制作结构件、传动件、最小单元外壳。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7.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机器人须自备独立电池，电池不允许使用螺丝、电焊接方式固定，电池电压不超过9V</w:t>
      </w:r>
      <w:r>
        <w:rPr>
          <w:rFonts w:ascii="Times New Roman" w:hAnsi="Times New Roman" w:eastAsia="仿宋_GB2312" w:cs="Times New Roman"/>
          <w:spacing w:val="-2"/>
          <w:sz w:val="32"/>
          <w:szCs w:val="32"/>
        </w:rPr>
        <w:t>AI气候卫士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功能点提前调试，最终尺寸要求：长不得超过15cm，宽不得超过10cm，高度不作要求。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二、</w:t>
      </w:r>
      <w:bookmarkEnd w:id="1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主题简介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bookmarkStart w:id="3" w:name="_Toc15189"/>
      <w:bookmarkStart w:id="4" w:name="_Toc15378"/>
      <w:bookmarkStart w:id="5" w:name="_Toc10462"/>
      <w:bookmarkStart w:id="6" w:name="_Toc29223"/>
      <w:bookmarkStart w:id="7" w:name="_Toc21631"/>
      <w:bookmarkStart w:id="8" w:name="_Toc21255"/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火星，这红色的邻居行星，一直以来都承载着人类的无限遐想和探索的希望。第一批移民将面对这个孤绝而荒凉的星球，他们将通过机器人的智能和技术，探索、建设并为未来的火星移民铺设基础，实现人类在这个遥远星球上的可持续生存和繁荣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本届机器人竞赛的主题是“GAR火星移民—文明建设”。为参赛队伍提供了一个机会，去探索人类未来在太空中的潜力，参赛队伍以充满激情和创造力的方式，在这个引人入胜的主题下展现他们的技能和想象力。除了机器人的设计与建造，参赛队伍还需要展示他们的解决问题的能力和团队合作精神。他们必须制定策略，遵循时间计划，最大限度地利用资源，并采取创新的方法解决各种问题。激发年轻一代对太空探索的兴趣，鼓励他们展现创造力和解决问题的能力。通过这个竞赛，他们有机会体验到科学发现和技术创新的乐趣，激发出他们探索未知、推动人类前进的热情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。</w:t>
      </w:r>
    </w:p>
    <w:bookmarkEnd w:id="3"/>
    <w:bookmarkEnd w:id="4"/>
    <w:bookmarkEnd w:id="5"/>
    <w:bookmarkEnd w:id="6"/>
    <w:bookmarkEnd w:id="7"/>
    <w:bookmarkEnd w:id="8"/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bookmarkStart w:id="9" w:name="_Toc27684"/>
      <w:bookmarkStart w:id="10" w:name="_Toc16757"/>
      <w:bookmarkStart w:id="11" w:name="_Toc31000"/>
      <w:bookmarkStart w:id="12" w:name="_Toc8915"/>
      <w:bookmarkStart w:id="13" w:name="_Toc7063"/>
      <w:bookmarkStart w:id="14" w:name="_Toc12650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三、场地与模型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（一）比赛场地说明</w:t>
      </w:r>
      <w:bookmarkEnd w:id="9"/>
      <w:bookmarkEnd w:id="10"/>
      <w:bookmarkEnd w:id="11"/>
      <w:bookmarkEnd w:id="12"/>
      <w:bookmarkEnd w:id="13"/>
      <w:bookmarkEnd w:id="14"/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比赛场地为长方形，长宽尺寸是2400mm*1200mm，比赛场地四周没有围栏。场地材质是刀刮布。为便于说明，俯视图中场地各区域添加了颜色与文字，实际场地图中各区域无色块填充与文字，如图1所示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。</w:t>
      </w:r>
    </w:p>
    <w:p>
      <w:pPr>
        <w:rPr>
          <w:rFonts w:ascii="Times New Roman" w:hAnsi="Times New Roman" w:eastAsia="微软雅黑" w:cs="Times New Roman"/>
          <w:sz w:val="20"/>
          <w:szCs w:val="20"/>
        </w:rPr>
      </w:pPr>
      <w:r>
        <w:drawing>
          <wp:inline distT="0" distB="0" distL="0" distR="0">
            <wp:extent cx="5618480" cy="1913890"/>
            <wp:effectExtent l="0" t="0" r="1270" b="0"/>
            <wp:docPr id="1444389024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89024" name="图片 1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91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（二）比赛地图说明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机器人比赛场地环境为低照度。由于一般赛场环境的不确定因素较多，例如：场地纸不平整、地板上有裂缝、光照条件有变化等，参赛队在设计机器人时应考虑各种应对措施。比赛场地尺寸的允许误差是±10mm，参赛队设计机器人时必须充分考虑。</w:t>
      </w:r>
    </w:p>
    <w:p>
      <w:pPr>
        <w:jc w:val="center"/>
        <w:rPr>
          <w:b/>
          <w:bCs/>
          <w:lang w:bidi="zh-CN"/>
        </w:rPr>
      </w:pPr>
      <w:r>
        <w:drawing>
          <wp:inline distT="0" distB="0" distL="0" distR="0">
            <wp:extent cx="4445000" cy="1430020"/>
            <wp:effectExtent l="0" t="0" r="0" b="0"/>
            <wp:docPr id="187163438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634389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7911" cy="14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lang w:bidi="zh-CN"/>
        </w:rPr>
      </w:pP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bookmarkStart w:id="15" w:name="_Toc24333"/>
      <w:bookmarkStart w:id="16" w:name="_Toc25103"/>
      <w:bookmarkStart w:id="17" w:name="_Toc8465"/>
      <w:bookmarkStart w:id="18" w:name="_Toc3696"/>
      <w:bookmarkStart w:id="19" w:name="_Toc20861"/>
      <w:bookmarkStart w:id="20" w:name="_Toc30112"/>
      <w:bookmarkStart w:id="21" w:name="_Toc11084"/>
      <w:bookmarkStart w:id="22" w:name="_Toc32065"/>
      <w:bookmarkStart w:id="23" w:name="_Toc12269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四、</w:t>
      </w:r>
      <w:r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任务描述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任务分为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5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个基础任务、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个挑战任务、1个神秘任务；其中神秘任务比赛当天公布，小学组不用完成。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3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基础任务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：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210" w:leftChars="100" w:firstLine="320" w:firstLineChars="1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出发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机器人启动后需自主运行，机器人整体垂直投影完全离开出发基地视为此任务完成：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机器人需从出发基地出发，机器人整体垂直投影完全离开出发基地视为任务完成，得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多次离开基地，得分不累加，此任务最高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单轮比赛，机器人启动且任意一次离开基地不成功此任务不得分；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出发基地调试前抽签决定。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9"/>
        <w:gridCol w:w="44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419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2540</wp:posOffset>
                  </wp:positionV>
                  <wp:extent cx="1409700" cy="688975"/>
                  <wp:effectExtent l="0" t="0" r="0" b="0"/>
                  <wp:wrapTight wrapText="bothSides">
                    <wp:wrapPolygon>
                      <wp:start x="0" y="0"/>
                      <wp:lineTo x="0" y="20903"/>
                      <wp:lineTo x="21308" y="20903"/>
                      <wp:lineTo x="21308" y="0"/>
                      <wp:lineTo x="0" y="0"/>
                    </wp:wrapPolygon>
                  </wp:wrapTight>
                  <wp:docPr id="17982426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426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0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完成状态</w:t>
            </w:r>
          </w:p>
        </w:tc>
        <w:tc>
          <w:tcPr>
            <w:tcW w:w="4419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41910</wp:posOffset>
                  </wp:positionV>
                  <wp:extent cx="1005840" cy="694055"/>
                  <wp:effectExtent l="0" t="0" r="3810" b="0"/>
                  <wp:wrapTight wrapText="bothSides">
                    <wp:wrapPolygon>
                      <wp:start x="0" y="0"/>
                      <wp:lineTo x="0" y="20750"/>
                      <wp:lineTo x="21273" y="20750"/>
                      <wp:lineTo x="21273" y="0"/>
                      <wp:lineTo x="0" y="0"/>
                    </wp:wrapPolygon>
                  </wp:wrapTight>
                  <wp:docPr id="449221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221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0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未完成状态</w:t>
            </w:r>
          </w:p>
        </w:tc>
      </w:tr>
    </w:tbl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开采地下水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水是生命之源，火星上也被证实存在过液态水，场地中绿色区域固定着有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块可能的水源区需要将地下水开采出来，示意图如下：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31"/>
        <w:gridCol w:w="3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786130</wp:posOffset>
                  </wp:positionH>
                  <wp:positionV relativeFrom="paragraph">
                    <wp:posOffset>-377825</wp:posOffset>
                  </wp:positionV>
                  <wp:extent cx="1038225" cy="1794510"/>
                  <wp:effectExtent l="2858" t="0" r="0" b="0"/>
                  <wp:wrapTight wrapText="bothSides">
                    <wp:wrapPolygon>
                      <wp:start x="21541" y="-34"/>
                      <wp:lineTo x="535" y="-34"/>
                      <wp:lineTo x="535" y="21290"/>
                      <wp:lineTo x="21541" y="21290"/>
                      <wp:lineTo x="21541" y="-34"/>
                    </wp:wrapPolygon>
                  </wp:wrapTight>
                  <wp:docPr id="1883501512" name="图片 1883501512" descr="图表, 条形图, 瀑布图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501512" name="图片 1883501512" descr="图表, 条形图, 瀑布图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03822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任务模型固定区</w:t>
            </w:r>
          </w:p>
        </w:tc>
        <w:tc>
          <w:tcPr>
            <w:tcW w:w="3765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429" w:hanging="428" w:hangingChars="134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635</wp:posOffset>
                  </wp:positionV>
                  <wp:extent cx="1413510" cy="811530"/>
                  <wp:effectExtent l="0" t="0" r="0" b="7620"/>
                  <wp:wrapTight wrapText="bothSides">
                    <wp:wrapPolygon>
                      <wp:start x="0" y="0"/>
                      <wp:lineTo x="0" y="21296"/>
                      <wp:lineTo x="21251" y="21296"/>
                      <wp:lineTo x="21251" y="0"/>
                      <wp:lineTo x="0" y="0"/>
                    </wp:wrapPolygon>
                  </wp:wrapTight>
                  <wp:docPr id="1120551651" name="图片 1" descr="图片包含 游戏机, 刷子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551651" name="图片 1" descr="图片包含 游戏机, 刷子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81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水模型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31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0</wp:posOffset>
                  </wp:positionV>
                  <wp:extent cx="1765300" cy="1095375"/>
                  <wp:effectExtent l="0" t="0" r="6350" b="9525"/>
                  <wp:wrapTight wrapText="bothSides">
                    <wp:wrapPolygon>
                      <wp:start x="0" y="0"/>
                      <wp:lineTo x="0" y="21412"/>
                      <wp:lineTo x="21445" y="21412"/>
                      <wp:lineTo x="21445" y="0"/>
                      <wp:lineTo x="0" y="0"/>
                    </wp:wrapPolygon>
                  </wp:wrapTight>
                  <wp:docPr id="1569908712" name="图片 1" descr="图片包含 乐高, 玩具, 桌子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908712" name="图片 1" descr="图片包含 乐高, 玩具, 桌子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初始状态</w:t>
            </w:r>
          </w:p>
        </w:tc>
        <w:tc>
          <w:tcPr>
            <w:tcW w:w="3765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429" w:hanging="428" w:hangingChars="134"/>
              <w:jc w:val="center"/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0</wp:posOffset>
                  </wp:positionV>
                  <wp:extent cx="1666875" cy="1063625"/>
                  <wp:effectExtent l="0" t="0" r="9525" b="3175"/>
                  <wp:wrapTight wrapText="bothSides">
                    <wp:wrapPolygon>
                      <wp:start x="0" y="0"/>
                      <wp:lineTo x="0" y="21278"/>
                      <wp:lineTo x="21477" y="21278"/>
                      <wp:lineTo x="21477" y="0"/>
                      <wp:lineTo x="0" y="0"/>
                    </wp:wrapPolygon>
                  </wp:wrapTight>
                  <wp:docPr id="729210520" name="图片 1" descr="乐高玩具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210520" name="图片 1" descr="乐高玩具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完成状态</w:t>
            </w:r>
          </w:p>
        </w:tc>
      </w:tr>
    </w:tbl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机器人将水模型从底座模型拔出视为任务完成；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小学组需要让水模型脱离原本的孔位，初中组、高中组还需要将水模型带回任意基地。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此任务最高3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分，小学组水模型脱离初始孔位，得3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分；初中组、高中组水模型脱离初始孔位，得2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分，带回基地（水模型垂直投影接触基地）再得1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开采矿产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火星上的矿产资源十分丰富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 xml:space="preserve">, 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建设火星要用到大量资源，需要机器人将矿产区的矿石开采出来，示意图如下：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296" w:type="dxa"/>
            <w:gridSpan w:val="2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48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0</wp:posOffset>
                  </wp:positionV>
                  <wp:extent cx="4225925" cy="577850"/>
                  <wp:effectExtent l="0" t="0" r="3810" b="0"/>
                  <wp:wrapSquare wrapText="bothSides"/>
                  <wp:docPr id="630823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823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78" cy="577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任务模型固定区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128905</wp:posOffset>
                      </wp:positionV>
                      <wp:extent cx="450850" cy="692150"/>
                      <wp:effectExtent l="0" t="0" r="368300" b="12700"/>
                      <wp:wrapNone/>
                      <wp:docPr id="600947701" name="对话气泡: 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692150"/>
                              </a:xfrm>
                              <a:prstGeom prst="wedgeRectCallout">
                                <a:avLst>
                                  <a:gd name="adj1" fmla="val 122488"/>
                                  <a:gd name="adj2" fmla="val -234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highlight w:val="yellow"/>
                                    </w:rPr>
                                    <w:t>矿产机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矩形 4" o:spid="_x0000_s1026" o:spt="61" type="#_x0000_t61" style="position:absolute;left:0pt;margin-left:-4.95pt;margin-top:10.15pt;height:54.5pt;width:35.5pt;z-index:251673600;v-text-anchor:middle;mso-width-relative:page;mso-height-relative:page;" fillcolor="#FFFFFF [3212]" filled="t" stroked="t" coordsize="21600,21600" o:gfxdata="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YaIAJ1wAAAAgBAAAPAAAAAAAA&#10;AAEAIAAAACIAAABkcnMvZG93bnJldi54bWxQSwECFAAUAAAACACHTuJAprJgr74CAAByBQAADgAA&#10;AAAAAAABACAAAAAmAQAAZHJzL2Uyb0RvYy54bWxQSwUGAAAAAAYABgBZAQAAVgYAAAAA&#10;" adj="37257,10294">
                      <v:fill on="t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矿产机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1363980</wp:posOffset>
                      </wp:positionV>
                      <wp:extent cx="819150" cy="292100"/>
                      <wp:effectExtent l="0" t="285750" r="419100" b="12700"/>
                      <wp:wrapNone/>
                      <wp:docPr id="999182854" name="对话气泡: 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92100"/>
                              </a:xfrm>
                              <a:prstGeom prst="wedgeRectCallout">
                                <a:avLst>
                                  <a:gd name="adj1" fmla="val 97771"/>
                                  <a:gd name="adj2" fmla="val -148369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ascii="宋体" w:hAnsi="宋体" w:eastAsia="宋体" w:cs="宋体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color w:val="FF0000"/>
                                      <w:highlight w:val="yellow"/>
                                    </w:rPr>
                                    <w:t>接收筐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矩形 5" o:spid="_x0000_s1026" o:spt="61" type="#_x0000_t61" style="position:absolute;left:0pt;margin-left:-0.45pt;margin-top:107.4pt;height:23pt;width:64.5pt;z-index:251674624;v-text-anchor:middle;mso-width-relative:page;mso-height-relative:page;" filled="f" stroked="t" coordsize="21600,21600" o:gfxdata="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B2WUPU2QAAAAkBAAAPAAAAAAAA&#10;AAEAIAAAACIAAABkcnMvZG93bnJldi54bWxQSwECFAAUAAAACACHTuJACHfgFLwCAABKBQAADgAA&#10;AAAAAAABACAAAAAoAQAAZHJzL2Uyb0RvYy54bWxQSwUGAAAAAAYABgBZAQAAVgYAAAAA&#10;" adj="31919,-21248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ascii="宋体" w:hAnsi="宋体" w:eastAsia="宋体" w:cs="宋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highlight w:val="yellow"/>
                              </w:rPr>
                              <w:t>接收筐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1708785</wp:posOffset>
                      </wp:positionH>
                      <wp:positionV relativeFrom="paragraph">
                        <wp:posOffset>68580</wp:posOffset>
                      </wp:positionV>
                      <wp:extent cx="819150" cy="292100"/>
                      <wp:effectExtent l="495300" t="0" r="19050" b="165100"/>
                      <wp:wrapNone/>
                      <wp:docPr id="1396365447" name="对话气泡: 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150" cy="292100"/>
                              </a:xfrm>
                              <a:prstGeom prst="wedgeRectCallout">
                                <a:avLst>
                                  <a:gd name="adj1" fmla="val -108430"/>
                                  <a:gd name="adj2" fmla="val 99457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highlight w:val="yellow"/>
                                    </w:rPr>
                                    <w:t>矿石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矩形 5" o:spid="_x0000_s1026" o:spt="61" type="#_x0000_t61" style="position:absolute;left:0pt;margin-left:134.55pt;margin-top:5.4pt;height:23pt;width:64.5pt;z-index:251675648;v-text-anchor:middle;mso-width-relative:page;mso-height-relative:page;" filled="f" stroked="t" coordsize="21600,21600" o:gfxdata="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E6aU3tYAAAAJAQAADwAAAAAAAAAB&#10;ACAAAAAiAAAAZHJzL2Rvd25yZXYueG1sUEsBAhQAFAAAAAgAh07iQKAcFCG9AgAASwUAAA4AAAAA&#10;AAAAAQAgAAAAJQEAAGRycy9lMm9Eb2MueG1sUEsFBgAAAAAGAAYAWQEAAFQGAAAAAA==&#10;" adj="-12621,32283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矿石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0</wp:posOffset>
                  </wp:positionV>
                  <wp:extent cx="1720850" cy="1477645"/>
                  <wp:effectExtent l="0" t="0" r="0" b="8255"/>
                  <wp:wrapSquare wrapText="bothSides"/>
                  <wp:docPr id="94847898" name="图片 1" descr="图片包含 玩具, 乐高, 男人, 桌子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47898" name="图片 1" descr="图片包含 玩具, 乐高, 男人, 桌子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初始状态</w:t>
            </w:r>
          </w:p>
        </w:tc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1875155</wp:posOffset>
                      </wp:positionH>
                      <wp:positionV relativeFrom="paragraph">
                        <wp:posOffset>389255</wp:posOffset>
                      </wp:positionV>
                      <wp:extent cx="590550" cy="292100"/>
                      <wp:effectExtent l="533400" t="0" r="19050" b="184150"/>
                      <wp:wrapNone/>
                      <wp:docPr id="1378410430" name="对话气泡: 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92100"/>
                              </a:xfrm>
                              <a:prstGeom prst="wedgeRectCallout">
                                <a:avLst>
                                  <a:gd name="adj1" fmla="val -137462"/>
                                  <a:gd name="adj2" fmla="val 103805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highlight w:val="yellow"/>
                                    </w:rPr>
                                    <w:t>矿石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矩形 5" o:spid="_x0000_s1026" o:spt="61" type="#_x0000_t61" style="position:absolute;left:0pt;margin-left:147.65pt;margin-top:30.65pt;height:23pt;width:46.5pt;z-index:251676672;v-text-anchor:middle;mso-width-relative:page;mso-height-relative:page;" filled="f" stroked="t" coordsize="21600,21600" o:gfxdata="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Vm61y1wAAAAoBAAAPAAAAAAAA&#10;AAEAIAAAACIAAABkcnMvZG93bnJldi54bWxQSwECFAAUAAAACACHTuJAh2ifE74CAABMBQAADgAA&#10;AAAAAAABACAAAAAmAQAAZHJzL2Uyb0RvYy54bWxQSwUGAAAAAAYABgBZAQAAVgYAAAAA&#10;" adj="-18892,33222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矿石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0</wp:posOffset>
                  </wp:positionV>
                  <wp:extent cx="1701800" cy="1433195"/>
                  <wp:effectExtent l="0" t="0" r="0" b="0"/>
                  <wp:wrapSquare wrapText="bothSides"/>
                  <wp:docPr id="432158112" name="图片 1" descr="图片包含 玩具, 乐高, 男人, 游戏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158112" name="图片 1" descr="图片包含 玩具, 乐高, 男人, 游戏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433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完成状态</w:t>
            </w:r>
          </w:p>
        </w:tc>
      </w:tr>
    </w:tbl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场地中蓝色区域（共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5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个）固定着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个任务模型，根据固定区的箭头，使任务模型的触发机构朝向和箭头保持一致；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小学组任务模型固定在1、2、3位置中的其二，调试前抽签决定；初中组任务模型固定在1、2、3、4位置中的其二，调试前抽签决定；高中组任务模型固定在1、2、3、4、5位置中的其二，调试前抽签决定；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每个矿产机上有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个矿石，机器人通过触发矿产机上的触发机构，将矿石开采至接收筐视为任务完成，得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分，此任务最高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60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4.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避开火星山脉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火星上有很多山脉，为更好的推进建设火星任务，场地中灰色区域（共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个）固定着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个火星山脉模型，机器人在执行任务时，需要避开火星山脉，示意图如下：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jc w:val="center"/>
              <w:rPr>
                <w:rFonts w:ascii="仿宋_GB2312" w:eastAsia="仿宋_GB2312"/>
                <w:sz w:val="32"/>
                <w:szCs w:val="32"/>
                <w:lang w:bidi="zh-CN"/>
              </w:rPr>
            </w:pPr>
            <w:r>
              <w:rPr>
                <w:rFonts w:hint="eastAsia" w:ascii="仿宋_GB2312" w:eastAsia="仿宋_GB2312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814195" cy="491490"/>
                  <wp:effectExtent l="0" t="0" r="0" b="3810"/>
                  <wp:docPr id="614293823" name="图片 614293823" descr="矩形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293823" name="图片 614293823" descr="矩形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624" cy="49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仿宋_GB2312" w:eastAsia="仿宋_GB2312"/>
                <w:sz w:val="32"/>
                <w:szCs w:val="32"/>
                <w:lang w:bidi="zh-CN"/>
              </w:rPr>
            </w:pPr>
          </w:p>
          <w:p>
            <w:pPr>
              <w:jc w:val="center"/>
              <w:rPr>
                <w:rFonts w:hint="eastAsia" w:ascii="仿宋_GB2312" w:eastAsia="仿宋_GB2312"/>
                <w:sz w:val="32"/>
                <w:szCs w:val="32"/>
                <w:lang w:bidi="zh-CN"/>
              </w:rPr>
            </w:pPr>
            <w:r>
              <w:rPr>
                <w:rFonts w:hint="eastAsia" w:ascii="仿宋_GB2312" w:eastAsia="仿宋_GB2312"/>
                <w:sz w:val="32"/>
                <w:szCs w:val="32"/>
                <w:lang w:bidi="zh-CN"/>
              </w:rPr>
              <w:t>摆放位置</w:t>
            </w:r>
          </w:p>
        </w:tc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0</wp:posOffset>
                  </wp:positionV>
                  <wp:extent cx="1287145" cy="683895"/>
                  <wp:effectExtent l="0" t="0" r="8255" b="1905"/>
                  <wp:wrapSquare wrapText="bothSides"/>
                  <wp:docPr id="285321770" name="图片 1" descr="乐高玩具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21770" name="图片 1" descr="乐高玩具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4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模型初始状态</w:t>
            </w:r>
          </w:p>
        </w:tc>
      </w:tr>
    </w:tbl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单轮比赛结束，任务模型未发生倾倒、损坏且垂直投影未完全离开摆放区视为任务完成，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个得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15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分，此任务最高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5.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地质勘探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火星的地质和地球有很大区别，现在对火星的地质进行分析，需要机器人将勘探仪器启动，示意图如下：</w:t>
      </w:r>
    </w:p>
    <w:tbl>
      <w:tblPr>
        <w:tblStyle w:val="10"/>
        <w:tblW w:w="89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6"/>
        <w:gridCol w:w="44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991" w:type="dxa"/>
            <w:gridSpan w:val="2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0</wp:posOffset>
                  </wp:positionV>
                  <wp:extent cx="603250" cy="584200"/>
                  <wp:effectExtent l="0" t="0" r="6350" b="6350"/>
                  <wp:wrapSquare wrapText="bothSides"/>
                  <wp:docPr id="22" name="图片 22" descr="红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红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1536065</wp:posOffset>
                  </wp:positionH>
                  <wp:positionV relativeFrom="paragraph">
                    <wp:posOffset>0</wp:posOffset>
                  </wp:positionV>
                  <wp:extent cx="590550" cy="584200"/>
                  <wp:effectExtent l="0" t="0" r="0" b="6350"/>
                  <wp:wrapSquare wrapText="bothSides"/>
                  <wp:docPr id="24" name="图片 24" descr="红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红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2647315</wp:posOffset>
                  </wp:positionH>
                  <wp:positionV relativeFrom="paragraph">
                    <wp:posOffset>0</wp:posOffset>
                  </wp:positionV>
                  <wp:extent cx="590550" cy="584200"/>
                  <wp:effectExtent l="0" t="0" r="0" b="6350"/>
                  <wp:wrapSquare wrapText="bothSides"/>
                  <wp:docPr id="25" name="图片 25" descr="红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红3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3759200</wp:posOffset>
                  </wp:positionH>
                  <wp:positionV relativeFrom="paragraph">
                    <wp:posOffset>0</wp:posOffset>
                  </wp:positionV>
                  <wp:extent cx="609600" cy="603250"/>
                  <wp:effectExtent l="0" t="0" r="0" b="6350"/>
                  <wp:wrapSquare wrapText="bothSides"/>
                  <wp:docPr id="26" name="图片 26" descr="红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红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任务模型固定区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66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537210</wp:posOffset>
                  </wp:positionH>
                  <wp:positionV relativeFrom="paragraph">
                    <wp:posOffset>95250</wp:posOffset>
                  </wp:positionV>
                  <wp:extent cx="1599565" cy="1423670"/>
                  <wp:effectExtent l="0" t="0" r="635" b="5080"/>
                  <wp:wrapSquare wrapText="bothSides"/>
                  <wp:docPr id="1911877994" name="图片 1" descr="图片包含 游戏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877994" name="图片 1" descr="图片包含 游戏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423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初始状态</w:t>
            </w:r>
          </w:p>
        </w:tc>
        <w:tc>
          <w:tcPr>
            <w:tcW w:w="4425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356235</wp:posOffset>
                      </wp:positionV>
                      <wp:extent cx="768350" cy="361950"/>
                      <wp:effectExtent l="361950" t="0" r="12700" b="19050"/>
                      <wp:wrapNone/>
                      <wp:docPr id="177186877" name="对话气泡: 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350" cy="361950"/>
                              </a:xfrm>
                              <a:prstGeom prst="wedgeRectCallout">
                                <a:avLst>
                                  <a:gd name="adj1" fmla="val -97243"/>
                                  <a:gd name="adj2" fmla="val -11649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highlight w:val="yellow"/>
                                    </w:rPr>
                                    <w:t>仪表盘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矩形 1" o:spid="_x0000_s1026" o:spt="61" type="#_x0000_t61" style="position:absolute;left:0pt;margin-left:145.1pt;margin-top:28.05pt;height:28.5pt;width:60.5pt;z-index:251684864;v-text-anchor:middle;mso-width-relative:page;mso-height-relative:page;" filled="f" stroked="t" coordsize="21600,21600" o:gfxdata="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DDx7WR1wAAAAoBAAAPAAAAAAAAAAEA&#10;IAAAACIAAABkcnMvZG93bnJldi54bWxQSwECFAAUAAAACACHTuJAtkVVObsCAABKBQAADgAAAAAA&#10;AAABACAAAAAmAQAAZHJzL2Uyb0RvYy54bWxQSwUGAAAAAAYABgBZAQAAUwYAAAAA&#10;" adj="-10204,8284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highlight w:val="yellow"/>
                              </w:rPr>
                              <w:t>仪表盘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0</wp:posOffset>
                  </wp:positionV>
                  <wp:extent cx="1618615" cy="1628140"/>
                  <wp:effectExtent l="0" t="0" r="635" b="0"/>
                  <wp:wrapSquare wrapText="bothSides"/>
                  <wp:docPr id="58311435" name="图片 1" descr="图片包含 游戏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11435" name="图片 1" descr="图片包含 游戏机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615" cy="162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完成状态</w:t>
            </w:r>
          </w:p>
        </w:tc>
      </w:tr>
    </w:tbl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场地中红色区域（共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4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个）固定着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个任务模型，根据固定区的箭头，使任务模型的朝向和箭头保持一致；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小学组任务模型固定在1、4位置；初中组任务模型固定在2、3位置；高中组任务模型固定在1、2、3、4位置的其二，调试前抽签决定；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机器人通过将勘探仪的仪表盘翻起启动勘探仪器，仪表盘翻起保持到单轮比赛结束视为任务完成，小学组和初中组任意完成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个得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40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分，高中组需要完成2个，每完成一个得2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分，此任务最高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40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3" w:firstLineChars="200"/>
        <w:jc w:val="left"/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挑战任务：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6.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建设生活区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生活区建设材料告急，机器人需要将建筑材料通过传送带送至生活区，示意图如下：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429" w:hanging="428" w:hangingChars="134"/>
              <w:jc w:val="left"/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1905</wp:posOffset>
                  </wp:positionV>
                  <wp:extent cx="843915" cy="466725"/>
                  <wp:effectExtent l="0" t="0" r="0" b="9525"/>
                  <wp:wrapSquare wrapText="bothSides"/>
                  <wp:docPr id="21" name="图片 21" descr="黄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黄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1905</wp:posOffset>
                  </wp:positionV>
                  <wp:extent cx="892810" cy="473710"/>
                  <wp:effectExtent l="0" t="0" r="2540" b="2540"/>
                  <wp:wrapSquare wrapText="bothSides"/>
                  <wp:docPr id="20" name="图片 20" descr="黄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黄2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任务模型固定区</w:t>
            </w:r>
          </w:p>
        </w:tc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1057910</wp:posOffset>
                  </wp:positionH>
                  <wp:positionV relativeFrom="paragraph">
                    <wp:posOffset>78740</wp:posOffset>
                  </wp:positionV>
                  <wp:extent cx="736600" cy="572135"/>
                  <wp:effectExtent l="0" t="0" r="6350" b="0"/>
                  <wp:wrapTight wrapText="bothSides">
                    <wp:wrapPolygon>
                      <wp:start x="0" y="0"/>
                      <wp:lineTo x="0" y="20857"/>
                      <wp:lineTo x="21228" y="20857"/>
                      <wp:lineTo x="21228" y="0"/>
                      <wp:lineTo x="0" y="0"/>
                    </wp:wrapPolygon>
                  </wp:wrapTight>
                  <wp:docPr id="1855517192" name="图片 1" descr="图片包含 乐高, 玩具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517192" name="图片 1" descr="图片包含 乐高, 玩具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210" w:leftChars="100" w:firstLine="1280" w:firstLineChars="400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材料模型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490855</wp:posOffset>
                      </wp:positionV>
                      <wp:extent cx="749300" cy="285750"/>
                      <wp:effectExtent l="0" t="0" r="12700" b="590550"/>
                      <wp:wrapNone/>
                      <wp:docPr id="484728613" name="对话气泡: 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0" cy="285750"/>
                              </a:xfrm>
                              <a:prstGeom prst="wedgeRectCallout">
                                <a:avLst>
                                  <a:gd name="adj1" fmla="val 34907"/>
                                  <a:gd name="adj2" fmla="val 243924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接收筐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矩形 12" o:spid="_x0000_s1026" o:spt="61" type="#_x0000_t61" style="position:absolute;left:0pt;margin-left:-2.95pt;margin-top:38.65pt;height:22.5pt;width:59pt;z-index:251661312;v-text-anchor:middle;mso-width-relative:page;mso-height-relative:page;" filled="f" stroked="t" coordsize="21600,21600" o:gfxdata="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DVuTp02gAAAAkBAAAPAAAAAAAA&#10;AAEAIAAAACIAAABkcnMvZG93bnJldi54bWxQSwECFAAUAAAACACHTuJAGoYmG7sCAABKBQAADgAA&#10;AAAAAAABACAAAAApAQAAZHJzL2Uyb0RvYy54bWxQSwUGAAAAAAYABgBZAQAAVgYAAAAA&#10;" adj="18340,63488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接收筐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36830</wp:posOffset>
                      </wp:positionV>
                      <wp:extent cx="1003300" cy="450850"/>
                      <wp:effectExtent l="0" t="0" r="25400" b="215900"/>
                      <wp:wrapNone/>
                      <wp:docPr id="632313799" name="对话气泡: 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03300" cy="450850"/>
                              </a:xfrm>
                              <a:prstGeom prst="wedgeRectCallout">
                                <a:avLst>
                                  <a:gd name="adj1" fmla="val 39294"/>
                                  <a:gd name="adj2" fmla="val 88217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触发机构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矩形 12" o:spid="_x0000_s1026" o:spt="61" type="#_x0000_t61" style="position:absolute;left:0pt;margin-left:101.55pt;margin-top:2.9pt;height:35.5pt;width:79pt;z-index:251663360;v-text-anchor:middle;mso-width-relative:page;mso-height-relative:page;" filled="f" stroked="t" coordsize="21600,21600" o:gfxdata="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0Tt+JNkAAAAIAQAADwAAAAAAAAAB&#10;ACAAAAAiAAAAZHJzL2Rvd25yZXYueG1sUEsBAhQAFAAAAAgAh07iQOWsMGa6AgAASgUAAA4AAAAA&#10;AAAAAQAgAAAAKAEAAGRycy9lMm9Eb2MueG1sUEsFBgAAAAAGAAYAWQEAAFQGAAAAAA==&#10;" adj="19288,29855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触发机构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1848485</wp:posOffset>
                      </wp:positionH>
                      <wp:positionV relativeFrom="paragraph">
                        <wp:posOffset>1437005</wp:posOffset>
                      </wp:positionV>
                      <wp:extent cx="930275" cy="330200"/>
                      <wp:effectExtent l="0" t="533400" r="22225" b="12700"/>
                      <wp:wrapNone/>
                      <wp:docPr id="1931714561" name="对话气泡: 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0275" cy="330200"/>
                              </a:xfrm>
                              <a:prstGeom prst="wedgeRectCallout">
                                <a:avLst>
                                  <a:gd name="adj1" fmla="val 6497"/>
                                  <a:gd name="adj2" fmla="val -209129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触发机构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对话气泡: 矩形 12" o:spid="_x0000_s1026" o:spt="61" type="#_x0000_t61" style="position:absolute;left:0pt;margin-left:145.55pt;margin-top:113.15pt;height:26pt;width:73.25pt;z-index:251662336;v-text-anchor:middle;mso-width-relative:page;mso-height-relative:page;" filled="f" stroked="t" coordsize="21600,21600" o:gfxdata="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Yo+MSdcAAAALAQAADwAAAAAAAAAB&#10;ACAAAAAiAAAAZHJzL2Rvd25yZXYueG1sUEsBAhQAFAAAAAgAh07iQN5PgYi8AgAASwUAAA4AAAAA&#10;AAAAAQAgAAAAJgEAAGRycy9lMm9Eb2MueG1sUEsFBgAAAAAGAAYAWQEAAFQGAAAAAA==&#10;" adj="12203,-34372">
                      <v:fill on="f" focussize="0,0"/>
                      <v:stroke weight="1pt" color="#FF0000 [3204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触发机构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778125" cy="1893570"/>
                  <wp:effectExtent l="0" t="0" r="3175" b="0"/>
                  <wp:wrapSquare wrapText="bothSides"/>
                  <wp:docPr id="972575526" name="图片 1" descr="乐高玩具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575526" name="图片 1" descr="乐高玩具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1600" w:firstLineChars="5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初始状态</w:t>
            </w:r>
          </w:p>
        </w:tc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 xml:space="preserve"> </w:t>
            </w: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81960" cy="2015490"/>
                  <wp:effectExtent l="0" t="0" r="8890" b="3810"/>
                  <wp:wrapSquare wrapText="bothSides"/>
                  <wp:docPr id="593375443" name="图片 1" descr="乐高玩具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375443" name="图片 1" descr="乐高玩具&#10;&#10;中度可信度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1600" w:firstLineChars="5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完成状态</w:t>
            </w:r>
          </w:p>
        </w:tc>
      </w:tr>
    </w:tbl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场地中黄色区域（共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个）固定着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个任务模型，根据固定区的箭头，使任务模型的朝向和箭头保持一致；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材料模型共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个保存在地图外，可在需要完成此任务时再放置在机器人上或地图上，初始时材料模型垂直投影不得超出基地；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机器人从出发基地携带材料模型至任务区，小学组将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个材料模型成功放置在接收筐得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分，可以重复放置，最高6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初中组、高中需要将材料模型放置在传送带上，机器人触发模型的触发机构使材料通过传送带运送至接收筐，完成1个得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60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分，最高6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分，重复完成得分不累加；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初中组、高中组若直接将材料放进接收筐，1个得1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分，最高只有3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7.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紧急救援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火星建设难免发生突发事故，需要及时发出救援信号，比赛结束时机器人必须回到未被当做出发基地的基地停止，机器人整体垂直投影完全在基地内且停止后闪烁灯光不少于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次视为任务完成，中途完成不得分。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48"/>
        <w:gridCol w:w="4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48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48895</wp:posOffset>
                  </wp:positionV>
                  <wp:extent cx="1455420" cy="1004570"/>
                  <wp:effectExtent l="0" t="0" r="0" b="5080"/>
                  <wp:wrapTight wrapText="bothSides">
                    <wp:wrapPolygon>
                      <wp:start x="0" y="0"/>
                      <wp:lineTo x="0" y="21300"/>
                      <wp:lineTo x="21204" y="21300"/>
                      <wp:lineTo x="21204" y="0"/>
                      <wp:lineTo x="0" y="0"/>
                    </wp:wrapPolygon>
                  </wp:wrapTight>
                  <wp:docPr id="18652216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2216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00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未完成状态</w:t>
            </w:r>
          </w:p>
        </w:tc>
        <w:tc>
          <w:tcPr>
            <w:tcW w:w="4148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48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932180</wp:posOffset>
                  </wp:positionH>
                  <wp:positionV relativeFrom="paragraph">
                    <wp:posOffset>62865</wp:posOffset>
                  </wp:positionV>
                  <wp:extent cx="998220" cy="935355"/>
                  <wp:effectExtent l="0" t="0" r="0" b="0"/>
                  <wp:wrapSquare wrapText="bothSides"/>
                  <wp:docPr id="20041852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1852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2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center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完成状态</w:t>
            </w:r>
          </w:p>
        </w:tc>
      </w:tr>
    </w:tbl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小学组完成紧急救援任务，得3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分；初中组至少中途完成一个除“出发”以外的其他任务，得3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分；高中组至少中途完成一个除“出发”以外的其他任务，且不得脱离黑线行驶；得3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3" w:firstLineChars="200"/>
        <w:jc w:val="left"/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  <w:t>神秘任务：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8.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矿石检测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火星上开采的矿石种类丰富，其中有块矿石的成分不明，机器人需要扫描矿石上的tag码，识别矿石的成分，将其带回正确的基地：</w:t>
      </w:r>
    </w:p>
    <w:tbl>
      <w:tblPr>
        <w:tblStyle w:val="10"/>
        <w:tblW w:w="0" w:type="auto"/>
        <w:tblInd w:w="51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60"/>
        <w:gridCol w:w="4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060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309245</wp:posOffset>
                  </wp:positionV>
                  <wp:extent cx="1452880" cy="706120"/>
                  <wp:effectExtent l="0" t="0" r="0" b="0"/>
                  <wp:wrapTight wrapText="bothSides">
                    <wp:wrapPolygon>
                      <wp:start x="0" y="0"/>
                      <wp:lineTo x="0" y="20978"/>
                      <wp:lineTo x="21241" y="20978"/>
                      <wp:lineTo x="21241" y="0"/>
                      <wp:lineTo x="0" y="0"/>
                    </wp:wrapPolygon>
                  </wp:wrapTight>
                  <wp:docPr id="2087780528" name="图片 1" descr="卡通人物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780528" name="图片 1" descr="卡通人物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88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初始状态</w:t>
            </w:r>
          </w:p>
        </w:tc>
        <w:tc>
          <w:tcPr>
            <w:tcW w:w="4044" w:type="dxa"/>
          </w:tcPr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0" w:firstLine="640" w:firstLineChars="2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365125</wp:posOffset>
                  </wp:positionV>
                  <wp:extent cx="1793240" cy="706120"/>
                  <wp:effectExtent l="0" t="0" r="0" b="0"/>
                  <wp:wrapTight wrapText="bothSides">
                    <wp:wrapPolygon>
                      <wp:start x="0" y="0"/>
                      <wp:lineTo x="0" y="20978"/>
                      <wp:lineTo x="21340" y="20978"/>
                      <wp:lineTo x="21340" y="0"/>
                      <wp:lineTo x="0" y="0"/>
                    </wp:wrapPolygon>
                  </wp:wrapTight>
                  <wp:docPr id="1104194017" name="图片 1" descr="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194017" name="图片 1" descr="文本&#10;&#10;描述已自动生成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70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3"/>
              <w:tabs>
                <w:tab w:val="left" w:pos="876"/>
              </w:tabs>
              <w:autoSpaceDE w:val="0"/>
              <w:autoSpaceDN w:val="0"/>
              <w:spacing w:line="560" w:lineRule="exact"/>
              <w:ind w:left="210" w:leftChars="100" w:firstLine="960" w:firstLineChars="300"/>
              <w:jc w:val="left"/>
              <w:rPr>
                <w:rFonts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 w:val="0"/>
                <w:kern w:val="0"/>
                <w:sz w:val="32"/>
                <w:szCs w:val="32"/>
                <w:lang w:bidi="zh-CN"/>
              </w:rPr>
              <w:t>完成状态</w:t>
            </w:r>
          </w:p>
        </w:tc>
      </w:tr>
    </w:tbl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基础任务和挑战任务抽签结束后，有1块贴有tag码的矿石，在剩余蓝色空位抽签，决定矿石的摆放；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调试结束后，裁判抽签tag码（tag码有2种，返回值分别为1或2），然后将码贴于矿石的上表面和面朝黑线的面（侧面的贴上朝向跟任务区箭头保持一致）；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hint="eastAsia"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机器人识别tag后需要将值显示到屏幕上，若为1则将矿石带回基地1，若为2将矿石带回基地2，（矿石垂直投影接触基地）全部完成得3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0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五</w:t>
      </w:r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、得分说明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1.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小学组完成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基础任务和挑战任务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，总分280分。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2.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初中组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、高中组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完成</w:t>
      </w:r>
      <w:r>
        <w:rPr>
          <w:rFonts w:hint="eastAsia"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基础任务、挑战任务、神秘任务</w:t>
      </w:r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val="zh-CN" w:bidi="zh-CN"/>
        </w:rPr>
        <w:t>，总分310分。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</w:pPr>
      <w:bookmarkStart w:id="24" w:name="_Toc29209"/>
      <w:r>
        <w:rPr>
          <w:rFonts w:ascii="Times New Roman" w:hAnsi="Times New Roman" w:eastAsia="仿宋_GB2312" w:cs="Times New Roman"/>
          <w:b w:val="0"/>
          <w:bCs w:val="0"/>
          <w:kern w:val="0"/>
          <w:sz w:val="32"/>
          <w:szCs w:val="32"/>
          <w:lang w:bidi="zh-CN"/>
        </w:rPr>
        <w:t>3.各得分点说明详见附表。</w:t>
      </w:r>
    </w:p>
    <w:bookmarkEnd w:id="24"/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</w:pPr>
      <w:bookmarkStart w:id="25" w:name="_Toc29333"/>
      <w:bookmarkStart w:id="26" w:name="_Toc4873"/>
      <w:bookmarkStart w:id="27" w:name="_Toc11464"/>
      <w:bookmarkStart w:id="28" w:name="_Toc5821"/>
      <w:bookmarkStart w:id="29" w:name="_Toc15690"/>
      <w:bookmarkStart w:id="30" w:name="_Toc1254"/>
      <w:bookmarkStart w:id="31" w:name="_Toc31035"/>
      <w:bookmarkStart w:id="32" w:name="_Toc5942"/>
      <w:bookmarkStart w:id="33" w:name="_Toc30609"/>
      <w:bookmarkStart w:id="34" w:name="_Toc13238"/>
      <w:bookmarkStart w:id="35" w:name="_Toc21482"/>
      <w:r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六</w:t>
      </w:r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、</w:t>
      </w:r>
      <w:bookmarkEnd w:id="25"/>
      <w:bookmarkEnd w:id="26"/>
      <w:bookmarkEnd w:id="27"/>
      <w:bookmarkEnd w:id="28"/>
      <w:bookmarkEnd w:id="29"/>
      <w:bookmarkEnd w:id="30"/>
      <w:r>
        <w:rPr>
          <w:rFonts w:ascii="Times New Roman" w:hAnsi="Times New Roman" w:eastAsia="黑体" w:cs="Times New Roman"/>
          <w:b w:val="0"/>
          <w:bCs w:val="0"/>
          <w:kern w:val="0"/>
          <w:sz w:val="32"/>
          <w:szCs w:val="32"/>
          <w:lang w:bidi="zh-CN"/>
        </w:rPr>
        <w:t>比赛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（一）赛制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1.比赛时间：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1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8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0秒。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jc w:val="left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</w:pPr>
      <w:r>
        <w:rPr>
          <w:rFonts w:ascii="Times New Roman" w:hAnsi="Times New Roman" w:eastAsia="仿宋_GB2312" w:cs="Times New Roman"/>
          <w:sz w:val="32"/>
          <w:szCs w:val="32"/>
        </w:rPr>
        <w:t>2.比赛连续两轮，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两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次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得分取最高分计入成绩</w:t>
      </w:r>
      <w:r>
        <w:rPr>
          <w:rFonts w:ascii="Times New Roman" w:hAnsi="Times New Roman" w:eastAsia="仿宋_GB2312" w:cs="Times New Roman"/>
          <w:sz w:val="32"/>
          <w:szCs w:val="32"/>
        </w:rPr>
        <w:t>。如成绩相同，则取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所有场次中用时总和少的队在前。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如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用时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相同，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则取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所有场次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zh-CN" w:bidi="zh-CN"/>
        </w:rPr>
        <w:t>重启次数少</w:t>
      </w:r>
      <w:r>
        <w:rPr>
          <w:rFonts w:ascii="Times New Roman" w:hAnsi="Times New Roman" w:eastAsia="仿宋_GB2312" w:cs="Times New Roman"/>
          <w:kern w:val="0"/>
          <w:sz w:val="32"/>
          <w:szCs w:val="32"/>
          <w:lang w:val="zh-CN" w:bidi="zh-CN"/>
        </w:rPr>
        <w:t>的队在前。</w:t>
      </w:r>
    </w:p>
    <w:p>
      <w:pPr>
        <w:pStyle w:val="3"/>
        <w:tabs>
          <w:tab w:val="left" w:pos="876"/>
        </w:tabs>
        <w:autoSpaceDE w:val="0"/>
        <w:autoSpaceDN w:val="0"/>
        <w:spacing w:line="560" w:lineRule="exact"/>
        <w:ind w:left="0" w:firstLine="640" w:firstLineChars="200"/>
        <w:jc w:val="left"/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</w:pP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val="zh-CN" w:bidi="zh-CN"/>
        </w:rPr>
        <w:t>（</w:t>
      </w: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二</w:t>
      </w: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val="zh-CN" w:bidi="zh-CN"/>
        </w:rPr>
        <w:t>）</w:t>
      </w:r>
      <w:r>
        <w:rPr>
          <w:rFonts w:ascii="Times New Roman" w:hAnsi="Times New Roman" w:eastAsia="楷体" w:cs="Times New Roman"/>
          <w:b w:val="0"/>
          <w:bCs w:val="0"/>
          <w:kern w:val="0"/>
          <w:sz w:val="32"/>
          <w:szCs w:val="32"/>
          <w:lang w:bidi="zh-CN"/>
        </w:rPr>
        <w:t>赛程</w:t>
      </w:r>
      <w:bookmarkStart w:id="38" w:name="_GoBack"/>
      <w:bookmarkEnd w:id="38"/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</w:pPr>
      <w:r>
        <w:rPr>
          <w:rFonts w:ascii="Times New Roman" w:hAnsi="Times New Roman" w:eastAsia="仿宋_GB2312" w:cs="Times New Roman"/>
          <w:kern w:val="0"/>
          <w:sz w:val="32"/>
          <w:szCs w:val="32"/>
          <w:lang w:bidi="zh-CN"/>
        </w:rPr>
        <w:t>比赛分三个阶段，编程与调试阶段、机器人封存阶段、竞赛阶段。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1.编程与调试阶段：</w:t>
      </w:r>
      <w:r>
        <w:rPr>
          <w:rFonts w:ascii="Times New Roman" w:hAnsi="Times New Roman" w:eastAsia="仿宋" w:cs="Times New Roman"/>
          <w:sz w:val="32"/>
          <w:szCs w:val="32"/>
          <w:lang w:val="zh-CN"/>
        </w:rPr>
        <w:t>裁判对参赛队携带的器材进行检查，</w:t>
      </w:r>
      <w:r>
        <w:rPr>
          <w:rFonts w:ascii="Times New Roman" w:hAnsi="Times New Roman" w:eastAsia="仿宋" w:cs="Times New Roman"/>
          <w:sz w:val="32"/>
          <w:szCs w:val="32"/>
        </w:rPr>
        <w:t>符合要求后进行编程与调试阶段，总时长60分钟，参赛选手自己编写程序并调试机器人。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2.机器人封存阶段：编程与调试结束后，参赛选手由裁判员协助在机器人醒目处张贴队伍编号后，上交机器人统一封存。</w:t>
      </w:r>
    </w:p>
    <w:p>
      <w:pPr>
        <w:widowControl/>
        <w:kinsoku w:val="0"/>
        <w:autoSpaceDE w:val="0"/>
        <w:autoSpaceDN w:val="0"/>
        <w:adjustRightInd w:val="0"/>
        <w:snapToGrid w:val="0"/>
        <w:spacing w:line="560" w:lineRule="exact"/>
        <w:ind w:firstLine="640" w:firstLineChars="200"/>
        <w:textAlignment w:val="baseline"/>
        <w:rPr>
          <w:rFonts w:ascii="Times New Roman" w:hAnsi="Times New Roman" w:eastAsia="仿宋" w:cs="Times New Roman"/>
          <w:sz w:val="32"/>
          <w:szCs w:val="32"/>
        </w:rPr>
      </w:pPr>
      <w:r>
        <w:rPr>
          <w:rFonts w:ascii="Times New Roman" w:hAnsi="Times New Roman" w:eastAsia="仿宋" w:cs="Times New Roman"/>
          <w:sz w:val="32"/>
          <w:szCs w:val="32"/>
        </w:rPr>
        <w:t>3.竞赛阶段：竞赛分两轮。参赛队确认准备好后举手示意，裁判员发出指令后，选手方可启动机器人。在裁判员发出指令前启动机器人将受到警告或犯规处罚。机器人一旦离开启动区，选手不能再触碰机器人。</w:t>
      </w:r>
    </w:p>
    <w:bookmarkEnd w:id="31"/>
    <w:bookmarkEnd w:id="32"/>
    <w:bookmarkEnd w:id="33"/>
    <w:bookmarkEnd w:id="34"/>
    <w:bookmarkEnd w:id="35"/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jc w:val="left"/>
        <w:textAlignment w:val="baseline"/>
        <w:rPr>
          <w:rFonts w:ascii="Times New Roman" w:hAnsi="Times New Roman" w:eastAsia="仿宋_GB2312" w:cs="Times New Roman"/>
          <w:kern w:val="0"/>
          <w:sz w:val="24"/>
          <w:lang w:val="zh-CN" w:bidi="zh-CN"/>
        </w:rPr>
      </w:pPr>
    </w:p>
    <w:p>
      <w:pPr>
        <w:widowControl/>
        <w:kinsoku w:val="0"/>
        <w:autoSpaceDE w:val="0"/>
        <w:autoSpaceDN w:val="0"/>
        <w:adjustRightInd w:val="0"/>
        <w:snapToGrid w:val="0"/>
        <w:spacing w:line="360" w:lineRule="auto"/>
        <w:ind w:left="48" w:firstLine="441"/>
        <w:jc w:val="left"/>
        <w:textAlignment w:val="baseline"/>
        <w:rPr>
          <w:rFonts w:ascii="Times New Roman" w:hAnsi="Times New Roman" w:eastAsia="仿宋_GB2312" w:cs="Times New Roman"/>
          <w:kern w:val="0"/>
          <w:sz w:val="24"/>
          <w:lang w:val="zh-CN" w:bidi="zh-CN"/>
        </w:rPr>
        <w:sectPr>
          <w:footerReference r:id="rId4" w:type="default"/>
          <w:pgSz w:w="11910" w:h="16840"/>
          <w:pgMar w:top="2098" w:right="1531" w:bottom="1701" w:left="1531" w:header="0" w:footer="979" w:gutter="0"/>
          <w:pgNumType w:fmt="numberInDash" w:start="1"/>
          <w:cols w:space="720" w:num="1"/>
        </w:sectPr>
      </w:pPr>
    </w:p>
    <w:p>
      <w:pPr>
        <w:pStyle w:val="8"/>
        <w:spacing w:before="90" w:beforeAutospacing="0" w:afterAutospacing="0" w:line="230" w:lineRule="auto"/>
        <w:jc w:val="center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GAR火星移民</w:t>
      </w:r>
      <w:r>
        <w:rPr>
          <w:rFonts w:hint="eastAsia" w:ascii="黑体" w:hAnsi="黑体" w:eastAsia="黑体" w:cs="仿宋_GB2312"/>
          <w:spacing w:val="4"/>
          <w:sz w:val="32"/>
          <w:szCs w:val="32"/>
        </w:rPr>
        <w:t>竞</w:t>
      </w:r>
      <w:r>
        <w:rPr>
          <w:rFonts w:hint="eastAsia" w:ascii="黑体" w:hAnsi="黑体" w:eastAsia="黑体" w:cs="仿宋_GB2312"/>
          <w:spacing w:val="3"/>
          <w:sz w:val="32"/>
          <w:szCs w:val="32"/>
        </w:rPr>
        <w:t>赛小学组记分表</w:t>
      </w:r>
    </w:p>
    <w:p>
      <w:pPr>
        <w:spacing w:line="263" w:lineRule="auto"/>
        <w:rPr>
          <w:rFonts w:hint="eastAsia" w:ascii="仿宋_GB2312" w:hAnsi="仿宋_GB2312" w:eastAsia="仿宋_GB2312" w:cs="仿宋_GB2312"/>
        </w:rPr>
      </w:pPr>
    </w:p>
    <w:p>
      <w:pPr>
        <w:spacing w:line="264" w:lineRule="auto"/>
        <w:rPr>
          <w:rFonts w:hint="eastAsia" w:ascii="仿宋_GB2312" w:hAnsi="仿宋_GB2312" w:eastAsia="仿宋_GB2312" w:cs="仿宋_GB2312"/>
        </w:rPr>
      </w:pPr>
    </w:p>
    <w:p>
      <w:pPr>
        <w:spacing w:before="75" w:line="228" w:lineRule="auto"/>
        <w:ind w:left="129"/>
        <w:rPr>
          <w:rFonts w:hint="eastAsia" w:ascii="仿宋_GB2312" w:hAnsi="仿宋_GB2312" w:eastAsia="仿宋_GB2312" w:cs="仿宋_GB2312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-1"/>
          <w:sz w:val="24"/>
        </w:rPr>
        <w:t>市(区)</w:t>
      </w:r>
      <w:r>
        <w:rPr>
          <w:rFonts w:hint="eastAsia" w:ascii="仿宋_GB2312" w:hAnsi="仿宋_GB2312" w:eastAsia="仿宋_GB2312" w:cs="仿宋_GB2312"/>
          <w:spacing w:val="-1"/>
          <w:sz w:val="24"/>
          <w:u w:val="single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参赛学校</w:t>
      </w:r>
      <w:r>
        <w:rPr>
          <w:rFonts w:hint="eastAsia" w:ascii="仿宋_GB2312" w:hAnsi="仿宋_GB2312" w:eastAsia="仿宋_GB2312" w:cs="仿宋_GB2312"/>
          <w:sz w:val="24"/>
          <w:u w:val="single"/>
        </w:rPr>
        <w:t xml:space="preserve">                     </w:t>
      </w:r>
      <w:r>
        <w:rPr>
          <w:rFonts w:hint="eastAsia" w:ascii="仿宋_GB2312" w:hAnsi="仿宋_GB2312" w:eastAsia="仿宋_GB2312" w:cs="仿宋_GB2312"/>
          <w:sz w:val="24"/>
        </w:rPr>
        <w:t>队伍编号</w:t>
      </w:r>
      <w:r>
        <w:rPr>
          <w:rFonts w:hint="eastAsia" w:ascii="仿宋_GB2312" w:hAnsi="仿宋_GB2312" w:eastAsia="仿宋_GB2312" w:cs="仿宋_GB2312"/>
          <w:sz w:val="24"/>
          <w:u w:val="single"/>
        </w:rPr>
        <w:t xml:space="preserve">                </w:t>
      </w:r>
    </w:p>
    <w:p>
      <w:pPr>
        <w:rPr>
          <w:rFonts w:hint="eastAsia" w:ascii="仿宋_GB2312" w:hAnsi="仿宋_GB2312" w:eastAsia="仿宋_GB2312" w:cs="仿宋_GB2312"/>
          <w:sz w:val="24"/>
        </w:rPr>
      </w:pPr>
    </w:p>
    <w:p>
      <w:pPr>
        <w:spacing w:line="94" w:lineRule="auto"/>
        <w:rPr>
          <w:rFonts w:hint="eastAsia" w:ascii="仿宋_GB2312" w:hAnsi="仿宋_GB2312" w:eastAsia="仿宋_GB2312" w:cs="仿宋_GB2312"/>
          <w:sz w:val="24"/>
        </w:rPr>
      </w:pPr>
    </w:p>
    <w:tbl>
      <w:tblPr>
        <w:tblStyle w:val="16"/>
        <w:tblW w:w="934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5"/>
        <w:gridCol w:w="3357"/>
        <w:gridCol w:w="990"/>
        <w:gridCol w:w="1505"/>
        <w:gridCol w:w="1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935" w:type="dxa"/>
          </w:tcPr>
          <w:p>
            <w:pPr>
              <w:spacing w:before="218" w:line="231" w:lineRule="auto"/>
              <w:ind w:left="255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6"/>
                <w:sz w:val="24"/>
              </w:rPr>
              <w:t>评分类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别</w:t>
            </w:r>
          </w:p>
        </w:tc>
        <w:tc>
          <w:tcPr>
            <w:tcW w:w="3357" w:type="dxa"/>
          </w:tcPr>
          <w:p>
            <w:pPr>
              <w:spacing w:before="218" w:line="231" w:lineRule="auto"/>
              <w:ind w:left="1397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8"/>
                <w:sz w:val="24"/>
              </w:rPr>
              <w:t>评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分项目</w:t>
            </w:r>
          </w:p>
        </w:tc>
        <w:tc>
          <w:tcPr>
            <w:tcW w:w="990" w:type="dxa"/>
          </w:tcPr>
          <w:p>
            <w:pPr>
              <w:spacing w:before="218" w:line="231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计分</w:t>
            </w:r>
          </w:p>
        </w:tc>
        <w:tc>
          <w:tcPr>
            <w:tcW w:w="1505" w:type="dxa"/>
          </w:tcPr>
          <w:p>
            <w:pPr>
              <w:spacing w:before="219" w:line="231" w:lineRule="auto"/>
              <w:ind w:left="149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6"/>
                <w:sz w:val="24"/>
              </w:rPr>
              <w:t>第一轮得分</w:t>
            </w:r>
          </w:p>
        </w:tc>
        <w:tc>
          <w:tcPr>
            <w:tcW w:w="1562" w:type="dxa"/>
          </w:tcPr>
          <w:p>
            <w:pPr>
              <w:spacing w:before="218" w:line="231" w:lineRule="auto"/>
              <w:ind w:left="285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第二轮得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7"/>
                <w:sz w:val="24"/>
              </w:rPr>
              <w:t>出发</w:t>
            </w:r>
          </w:p>
        </w:tc>
        <w:tc>
          <w:tcPr>
            <w:tcW w:w="3357" w:type="dxa"/>
          </w:tcPr>
          <w:p>
            <w:pPr>
              <w:spacing w:before="215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7"/>
                <w:sz w:val="24"/>
              </w:rPr>
              <w:t>机器人垂直投影离开基地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  <w:jc w:val="center"/>
        </w:trPr>
        <w:tc>
          <w:tcPr>
            <w:tcW w:w="1935" w:type="dxa"/>
          </w:tcPr>
          <w:p>
            <w:pPr>
              <w:spacing w:before="214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4"/>
                <w:sz w:val="24"/>
              </w:rPr>
              <w:t>开采地下水</w:t>
            </w:r>
          </w:p>
        </w:tc>
        <w:tc>
          <w:tcPr>
            <w:tcW w:w="3357" w:type="dxa"/>
          </w:tcPr>
          <w:p>
            <w:pPr>
              <w:spacing w:before="214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8"/>
                <w:sz w:val="24"/>
              </w:rPr>
              <w:t>水模型脱离初始孔位</w:t>
            </w:r>
          </w:p>
        </w:tc>
        <w:tc>
          <w:tcPr>
            <w:tcW w:w="990" w:type="dxa"/>
          </w:tcPr>
          <w:p>
            <w:pPr>
              <w:spacing w:before="214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9"/>
                <w:sz w:val="24"/>
              </w:rPr>
              <w:t>避开火星山脉</w:t>
            </w:r>
          </w:p>
        </w:tc>
        <w:tc>
          <w:tcPr>
            <w:tcW w:w="3357" w:type="dxa"/>
          </w:tcPr>
          <w:p>
            <w:pPr>
              <w:spacing w:before="215" w:line="230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4"/>
                <w:sz w:val="24"/>
              </w:rPr>
              <w:t>山脉模型未完全离开摆放区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spacing w:before="215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pacing w:val="9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9"/>
                <w:sz w:val="24"/>
              </w:rPr>
              <w:t>开采矿产</w:t>
            </w:r>
          </w:p>
        </w:tc>
        <w:tc>
          <w:tcPr>
            <w:tcW w:w="3357" w:type="dxa"/>
          </w:tcPr>
          <w:p>
            <w:pPr>
              <w:spacing w:before="215" w:line="230" w:lineRule="auto"/>
              <w:rPr>
                <w:rFonts w:hint="eastAsia" w:ascii="仿宋_GB2312" w:hAnsi="仿宋_GB2312" w:eastAsia="仿宋_GB2312" w:cs="仿宋_GB2312"/>
                <w:spacing w:val="14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4"/>
                <w:sz w:val="24"/>
              </w:rPr>
              <w:t>矿石掉落至接收筐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60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spacing w:before="215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8" w:line="229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地质勘探</w:t>
            </w:r>
          </w:p>
        </w:tc>
        <w:tc>
          <w:tcPr>
            <w:tcW w:w="3357" w:type="dxa"/>
          </w:tcPr>
          <w:p>
            <w:pPr>
              <w:spacing w:before="218" w:line="229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仪表盘翻起并保持到比赛结束</w:t>
            </w:r>
          </w:p>
        </w:tc>
        <w:tc>
          <w:tcPr>
            <w:tcW w:w="990" w:type="dxa"/>
          </w:tcPr>
          <w:p>
            <w:pPr>
              <w:spacing w:before="217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24"/>
              </w:rPr>
              <w:t>4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0分</w:t>
            </w:r>
          </w:p>
        </w:tc>
        <w:tc>
          <w:tcPr>
            <w:tcW w:w="1505" w:type="dxa"/>
          </w:tcPr>
          <w:p>
            <w:pPr>
              <w:spacing w:before="218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20" w:line="228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建设生活区</w:t>
            </w:r>
          </w:p>
        </w:tc>
        <w:tc>
          <w:tcPr>
            <w:tcW w:w="3357" w:type="dxa"/>
          </w:tcPr>
          <w:p>
            <w:pPr>
              <w:spacing w:before="219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sz w:val="24"/>
              </w:rPr>
              <w:t>材料模型放入接收筐</w:t>
            </w:r>
          </w:p>
        </w:tc>
        <w:tc>
          <w:tcPr>
            <w:tcW w:w="990" w:type="dxa"/>
          </w:tcPr>
          <w:p>
            <w:pPr>
              <w:spacing w:before="219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60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20" w:line="228" w:lineRule="auto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紧急救援</w:t>
            </w:r>
          </w:p>
        </w:tc>
        <w:tc>
          <w:tcPr>
            <w:tcW w:w="3357" w:type="dxa"/>
          </w:tcPr>
          <w:p>
            <w:pPr>
              <w:spacing w:before="219" w:line="231" w:lineRule="auto"/>
              <w:rPr>
                <w:rFonts w:hint="eastAsia" w:ascii="仿宋_GB2312" w:hAnsi="仿宋_GB2312" w:eastAsia="仿宋_GB2312" w:cs="仿宋_GB2312"/>
                <w:spacing w:val="2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sz w:val="24"/>
              </w:rPr>
              <w:t>机器人垂直投影完全在基地，并闪烁灯光</w:t>
            </w:r>
          </w:p>
        </w:tc>
        <w:tc>
          <w:tcPr>
            <w:tcW w:w="990" w:type="dxa"/>
          </w:tcPr>
          <w:p>
            <w:pPr>
              <w:spacing w:before="219" w:line="232" w:lineRule="auto"/>
              <w:jc w:val="center"/>
              <w:rPr>
                <w:rFonts w:hint="eastAsia" w:ascii="仿宋_GB2312" w:hAnsi="仿宋_GB2312" w:eastAsia="仿宋_GB2312" w:cs="仿宋_GB2312"/>
                <w:spacing w:val="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1935" w:type="dxa"/>
          </w:tcPr>
          <w:p>
            <w:pPr>
              <w:spacing w:before="227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比赛计时</w:t>
            </w:r>
          </w:p>
        </w:tc>
        <w:tc>
          <w:tcPr>
            <w:tcW w:w="3357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0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pacing w:val="2"/>
                <w:sz w:val="24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合计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1935" w:type="dxa"/>
          </w:tcPr>
          <w:p>
            <w:pPr>
              <w:spacing w:before="227" w:line="231" w:lineRule="auto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重启次数</w:t>
            </w: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357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0" w:type="dxa"/>
          </w:tcPr>
          <w:p>
            <w:pPr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总得分</w:t>
            </w:r>
          </w:p>
        </w:tc>
        <w:tc>
          <w:tcPr>
            <w:tcW w:w="3067" w:type="dxa"/>
            <w:gridSpan w:val="2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p>
      <w:pPr>
        <w:spacing w:before="75" w:line="232" w:lineRule="auto"/>
        <w:rPr>
          <w:rFonts w:hint="eastAsia" w:ascii="仿宋_GB2312" w:hAnsi="仿宋_GB2312" w:eastAsia="仿宋_GB2312" w:cs="仿宋_GB2312"/>
          <w:spacing w:val="5"/>
          <w:sz w:val="24"/>
        </w:rPr>
      </w:pPr>
    </w:p>
    <w:p>
      <w:pPr>
        <w:spacing w:before="75" w:line="232" w:lineRule="auto"/>
        <w:rPr>
          <w:rFonts w:hint="eastAsia" w:ascii="仿宋_GB2312" w:hAnsi="仿宋_GB2312" w:eastAsia="仿宋_GB2312" w:cs="仿宋_GB2312"/>
          <w:spacing w:val="5"/>
          <w:sz w:val="24"/>
        </w:rPr>
      </w:pP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5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5"/>
          <w:sz w:val="24"/>
        </w:rPr>
        <w:t>裁判员签字：</w:t>
      </w:r>
      <w:r>
        <w:rPr>
          <w:rFonts w:hint="eastAsia" w:ascii="仿宋_GB2312" w:hAnsi="仿宋_GB2312" w:eastAsia="仿宋_GB2312" w:cs="仿宋_GB2312"/>
          <w:spacing w:val="5"/>
          <w:sz w:val="24"/>
          <w:u w:val="single"/>
        </w:rPr>
        <w:t xml:space="preserve">                                                        </w:t>
      </w: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10"/>
          <w:sz w:val="24"/>
        </w:rPr>
      </w:pP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5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10"/>
          <w:sz w:val="24"/>
        </w:rPr>
        <w:t>参</w:t>
      </w:r>
      <w:r>
        <w:rPr>
          <w:rFonts w:hint="eastAsia" w:ascii="仿宋_GB2312" w:hAnsi="仿宋_GB2312" w:eastAsia="仿宋_GB2312" w:cs="仿宋_GB2312"/>
          <w:spacing w:val="5"/>
          <w:sz w:val="24"/>
        </w:rPr>
        <w:t>赛队员代表：</w:t>
      </w:r>
      <w:r>
        <w:rPr>
          <w:rFonts w:hint="eastAsia" w:ascii="仿宋_GB2312" w:hAnsi="仿宋_GB2312" w:eastAsia="仿宋_GB2312" w:cs="仿宋_GB2312"/>
          <w:spacing w:val="5"/>
          <w:sz w:val="24"/>
          <w:u w:val="single"/>
        </w:rPr>
        <w:t xml:space="preserve">                                                     </w:t>
      </w: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7"/>
          <w:sz w:val="24"/>
        </w:rPr>
      </w:pPr>
    </w:p>
    <w:p>
      <w:pPr>
        <w:spacing w:before="75" w:line="560" w:lineRule="exact"/>
        <w:ind w:left="356"/>
        <w:rPr>
          <w:rFonts w:hint="eastAsia" w:ascii="仿宋_GB2312" w:hAnsi="仿宋_GB2312" w:eastAsia="仿宋_GB2312" w:cs="仿宋_GB2312"/>
          <w:spacing w:val="7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7"/>
          <w:sz w:val="24"/>
        </w:rPr>
        <w:t>取消参赛资格原因：</w:t>
      </w:r>
      <w:r>
        <w:rPr>
          <w:rFonts w:hint="eastAsia" w:ascii="仿宋_GB2312" w:hAnsi="仿宋_GB2312" w:eastAsia="仿宋_GB2312" w:cs="仿宋_GB2312"/>
          <w:spacing w:val="7"/>
          <w:sz w:val="24"/>
          <w:u w:val="single"/>
        </w:rPr>
        <w:t xml:space="preserve">                                                   </w:t>
      </w:r>
      <w:bookmarkStart w:id="36" w:name="_bookmark3"/>
      <w:bookmarkEnd w:id="36"/>
      <w:bookmarkStart w:id="37" w:name="_bookmark2"/>
      <w:bookmarkEnd w:id="37"/>
    </w:p>
    <w:p>
      <w:pPr>
        <w:rPr>
          <w:rFonts w:hint="eastAsia" w:ascii="仿宋_GB2312" w:hAnsi="仿宋_GB2312" w:eastAsia="仿宋_GB2312" w:cs="仿宋_GB2312"/>
          <w:spacing w:val="7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7"/>
          <w:sz w:val="24"/>
          <w:u w:val="single"/>
        </w:rPr>
        <w:br w:type="page"/>
      </w:r>
    </w:p>
    <w:p>
      <w:pPr>
        <w:pStyle w:val="8"/>
        <w:spacing w:before="90" w:beforeAutospacing="0" w:afterAutospacing="0" w:line="230" w:lineRule="auto"/>
        <w:jc w:val="center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GAR火星移民</w:t>
      </w:r>
      <w:r>
        <w:rPr>
          <w:rFonts w:hint="eastAsia" w:ascii="黑体" w:hAnsi="黑体" w:eastAsia="黑体" w:cs="仿宋_GB2312"/>
          <w:spacing w:val="4"/>
          <w:sz w:val="32"/>
          <w:szCs w:val="32"/>
        </w:rPr>
        <w:t>竞</w:t>
      </w:r>
      <w:r>
        <w:rPr>
          <w:rFonts w:hint="eastAsia" w:ascii="黑体" w:hAnsi="黑体" w:eastAsia="黑体" w:cs="仿宋_GB2312"/>
          <w:spacing w:val="3"/>
          <w:sz w:val="32"/>
          <w:szCs w:val="32"/>
        </w:rPr>
        <w:t>赛初中组记分表</w:t>
      </w:r>
    </w:p>
    <w:p>
      <w:pPr>
        <w:spacing w:line="263" w:lineRule="auto"/>
        <w:rPr>
          <w:rFonts w:hint="eastAsia" w:ascii="仿宋_GB2312" w:hAnsi="仿宋_GB2312" w:eastAsia="仿宋_GB2312" w:cs="仿宋_GB2312"/>
        </w:rPr>
      </w:pPr>
    </w:p>
    <w:p>
      <w:pPr>
        <w:spacing w:line="264" w:lineRule="auto"/>
        <w:rPr>
          <w:rFonts w:hint="eastAsia" w:ascii="仿宋_GB2312" w:hAnsi="仿宋_GB2312" w:eastAsia="仿宋_GB2312" w:cs="仿宋_GB2312"/>
        </w:rPr>
      </w:pPr>
    </w:p>
    <w:p>
      <w:pPr>
        <w:spacing w:before="75" w:line="228" w:lineRule="auto"/>
        <w:ind w:left="129"/>
        <w:rPr>
          <w:rFonts w:hint="eastAsia" w:ascii="仿宋_GB2312" w:hAnsi="仿宋_GB2312" w:eastAsia="仿宋_GB2312" w:cs="仿宋_GB2312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-1"/>
          <w:sz w:val="24"/>
        </w:rPr>
        <w:t>市(区)</w:t>
      </w:r>
      <w:r>
        <w:rPr>
          <w:rFonts w:hint="eastAsia" w:ascii="仿宋_GB2312" w:hAnsi="仿宋_GB2312" w:eastAsia="仿宋_GB2312" w:cs="仿宋_GB2312"/>
          <w:spacing w:val="-1"/>
          <w:sz w:val="24"/>
          <w:u w:val="single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参赛学校</w:t>
      </w:r>
      <w:r>
        <w:rPr>
          <w:rFonts w:hint="eastAsia" w:ascii="仿宋_GB2312" w:hAnsi="仿宋_GB2312" w:eastAsia="仿宋_GB2312" w:cs="仿宋_GB2312"/>
          <w:sz w:val="24"/>
          <w:u w:val="single"/>
        </w:rPr>
        <w:t xml:space="preserve">                     </w:t>
      </w:r>
      <w:r>
        <w:rPr>
          <w:rFonts w:hint="eastAsia" w:ascii="仿宋_GB2312" w:hAnsi="仿宋_GB2312" w:eastAsia="仿宋_GB2312" w:cs="仿宋_GB2312"/>
          <w:sz w:val="24"/>
        </w:rPr>
        <w:t>队伍编号</w:t>
      </w:r>
      <w:r>
        <w:rPr>
          <w:rFonts w:hint="eastAsia" w:ascii="仿宋_GB2312" w:hAnsi="仿宋_GB2312" w:eastAsia="仿宋_GB2312" w:cs="仿宋_GB2312"/>
          <w:sz w:val="24"/>
          <w:u w:val="single"/>
        </w:rPr>
        <w:t xml:space="preserve">                </w:t>
      </w:r>
    </w:p>
    <w:p>
      <w:pPr>
        <w:rPr>
          <w:rFonts w:hint="eastAsia" w:ascii="仿宋_GB2312" w:hAnsi="仿宋_GB2312" w:eastAsia="仿宋_GB2312" w:cs="仿宋_GB2312"/>
          <w:sz w:val="24"/>
        </w:rPr>
      </w:pPr>
    </w:p>
    <w:p>
      <w:pPr>
        <w:spacing w:line="94" w:lineRule="auto"/>
        <w:rPr>
          <w:rFonts w:hint="eastAsia" w:ascii="仿宋_GB2312" w:hAnsi="仿宋_GB2312" w:eastAsia="仿宋_GB2312" w:cs="仿宋_GB2312"/>
          <w:sz w:val="24"/>
        </w:rPr>
      </w:pPr>
    </w:p>
    <w:tbl>
      <w:tblPr>
        <w:tblStyle w:val="16"/>
        <w:tblW w:w="934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5"/>
        <w:gridCol w:w="3357"/>
        <w:gridCol w:w="990"/>
        <w:gridCol w:w="1505"/>
        <w:gridCol w:w="1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935" w:type="dxa"/>
          </w:tcPr>
          <w:p>
            <w:pPr>
              <w:spacing w:before="218" w:line="231" w:lineRule="auto"/>
              <w:ind w:left="255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6"/>
                <w:sz w:val="24"/>
              </w:rPr>
              <w:t>评分类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别</w:t>
            </w:r>
          </w:p>
        </w:tc>
        <w:tc>
          <w:tcPr>
            <w:tcW w:w="3357" w:type="dxa"/>
          </w:tcPr>
          <w:p>
            <w:pPr>
              <w:spacing w:before="218" w:line="231" w:lineRule="auto"/>
              <w:ind w:left="1397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8"/>
                <w:sz w:val="24"/>
              </w:rPr>
              <w:t>评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分项目</w:t>
            </w:r>
          </w:p>
        </w:tc>
        <w:tc>
          <w:tcPr>
            <w:tcW w:w="990" w:type="dxa"/>
          </w:tcPr>
          <w:p>
            <w:pPr>
              <w:spacing w:before="218" w:line="231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计分</w:t>
            </w:r>
          </w:p>
        </w:tc>
        <w:tc>
          <w:tcPr>
            <w:tcW w:w="1505" w:type="dxa"/>
          </w:tcPr>
          <w:p>
            <w:pPr>
              <w:spacing w:before="219" w:line="231" w:lineRule="auto"/>
              <w:ind w:left="149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6"/>
                <w:sz w:val="24"/>
              </w:rPr>
              <w:t>第一轮得分</w:t>
            </w:r>
          </w:p>
        </w:tc>
        <w:tc>
          <w:tcPr>
            <w:tcW w:w="1562" w:type="dxa"/>
          </w:tcPr>
          <w:p>
            <w:pPr>
              <w:spacing w:before="218" w:line="231" w:lineRule="auto"/>
              <w:ind w:left="285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第二轮得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7"/>
                <w:sz w:val="24"/>
              </w:rPr>
              <w:t>出发</w:t>
            </w:r>
          </w:p>
        </w:tc>
        <w:tc>
          <w:tcPr>
            <w:tcW w:w="3357" w:type="dxa"/>
          </w:tcPr>
          <w:p>
            <w:pPr>
              <w:spacing w:before="215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7"/>
                <w:sz w:val="24"/>
              </w:rPr>
              <w:t>机器人垂直投影离开基地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  <w:jc w:val="center"/>
        </w:trPr>
        <w:tc>
          <w:tcPr>
            <w:tcW w:w="1935" w:type="dxa"/>
          </w:tcPr>
          <w:p>
            <w:pPr>
              <w:spacing w:before="214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4"/>
                <w:sz w:val="24"/>
              </w:rPr>
              <w:t>开采地下水</w:t>
            </w:r>
          </w:p>
        </w:tc>
        <w:tc>
          <w:tcPr>
            <w:tcW w:w="3357" w:type="dxa"/>
          </w:tcPr>
          <w:p>
            <w:pPr>
              <w:spacing w:before="214" w:line="231" w:lineRule="auto"/>
              <w:rPr>
                <w:rFonts w:hint="eastAsia" w:ascii="仿宋_GB2312" w:hAnsi="仿宋_GB2312" w:eastAsia="仿宋_GB2312" w:cs="仿宋_GB2312"/>
                <w:spacing w:val="8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8"/>
                <w:sz w:val="24"/>
              </w:rPr>
              <w:t>1.水模型脱离初始孔位</w:t>
            </w:r>
          </w:p>
          <w:p>
            <w:pPr>
              <w:spacing w:before="214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2.水模型带回基地</w:t>
            </w:r>
          </w:p>
        </w:tc>
        <w:tc>
          <w:tcPr>
            <w:tcW w:w="990" w:type="dxa"/>
          </w:tcPr>
          <w:p>
            <w:pPr>
              <w:spacing w:before="214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9"/>
                <w:sz w:val="24"/>
              </w:rPr>
              <w:t>避开火星山脉</w:t>
            </w:r>
          </w:p>
        </w:tc>
        <w:tc>
          <w:tcPr>
            <w:tcW w:w="3357" w:type="dxa"/>
          </w:tcPr>
          <w:p>
            <w:pPr>
              <w:spacing w:before="215" w:line="230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4"/>
                <w:sz w:val="24"/>
              </w:rPr>
              <w:t>山脉模型未完全离开摆放区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spacing w:before="215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pacing w:val="9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9"/>
                <w:sz w:val="24"/>
              </w:rPr>
              <w:t>开采矿产</w:t>
            </w:r>
          </w:p>
        </w:tc>
        <w:tc>
          <w:tcPr>
            <w:tcW w:w="3357" w:type="dxa"/>
          </w:tcPr>
          <w:p>
            <w:pPr>
              <w:spacing w:before="215" w:line="230" w:lineRule="auto"/>
              <w:rPr>
                <w:rFonts w:hint="eastAsia" w:ascii="仿宋_GB2312" w:hAnsi="仿宋_GB2312" w:eastAsia="仿宋_GB2312" w:cs="仿宋_GB2312"/>
                <w:spacing w:val="14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4"/>
                <w:sz w:val="24"/>
              </w:rPr>
              <w:t>矿石掉落至接收筐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60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spacing w:before="215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8" w:line="229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地质勘探</w:t>
            </w:r>
          </w:p>
        </w:tc>
        <w:tc>
          <w:tcPr>
            <w:tcW w:w="3357" w:type="dxa"/>
          </w:tcPr>
          <w:p>
            <w:pPr>
              <w:spacing w:before="218" w:line="229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仪表盘翻起并保持到比赛结束</w:t>
            </w:r>
          </w:p>
        </w:tc>
        <w:tc>
          <w:tcPr>
            <w:tcW w:w="990" w:type="dxa"/>
          </w:tcPr>
          <w:p>
            <w:pPr>
              <w:spacing w:before="217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24"/>
              </w:rPr>
              <w:t>4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0分</w:t>
            </w:r>
          </w:p>
        </w:tc>
        <w:tc>
          <w:tcPr>
            <w:tcW w:w="1505" w:type="dxa"/>
          </w:tcPr>
          <w:p>
            <w:pPr>
              <w:spacing w:before="218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20" w:line="228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建设生活区</w:t>
            </w:r>
          </w:p>
        </w:tc>
        <w:tc>
          <w:tcPr>
            <w:tcW w:w="3357" w:type="dxa"/>
          </w:tcPr>
          <w:p>
            <w:pPr>
              <w:spacing w:before="219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sz w:val="24"/>
              </w:rPr>
              <w:t>材料模型放置在传送带上， 传送到接收筐</w:t>
            </w:r>
          </w:p>
        </w:tc>
        <w:tc>
          <w:tcPr>
            <w:tcW w:w="990" w:type="dxa"/>
          </w:tcPr>
          <w:p>
            <w:pPr>
              <w:spacing w:before="219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60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20" w:line="228" w:lineRule="auto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紧急救援</w:t>
            </w:r>
          </w:p>
        </w:tc>
        <w:tc>
          <w:tcPr>
            <w:tcW w:w="3357" w:type="dxa"/>
          </w:tcPr>
          <w:p>
            <w:pPr>
              <w:spacing w:before="219" w:line="231" w:lineRule="auto"/>
              <w:rPr>
                <w:rFonts w:hint="eastAsia" w:ascii="仿宋_GB2312" w:hAnsi="仿宋_GB2312" w:eastAsia="仿宋_GB2312" w:cs="仿宋_GB2312"/>
                <w:spacing w:val="2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sz w:val="24"/>
              </w:rPr>
              <w:t>机器人垂直投影完全在基地，并闪烁灯光</w:t>
            </w:r>
          </w:p>
        </w:tc>
        <w:tc>
          <w:tcPr>
            <w:tcW w:w="990" w:type="dxa"/>
          </w:tcPr>
          <w:p>
            <w:pPr>
              <w:spacing w:before="219" w:line="232" w:lineRule="auto"/>
              <w:jc w:val="center"/>
              <w:rPr>
                <w:rFonts w:hint="eastAsia" w:ascii="仿宋_GB2312" w:hAnsi="仿宋_GB2312" w:eastAsia="仿宋_GB2312" w:cs="仿宋_GB2312"/>
                <w:spacing w:val="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20" w:line="228" w:lineRule="auto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矿石检测</w:t>
            </w:r>
          </w:p>
        </w:tc>
        <w:tc>
          <w:tcPr>
            <w:tcW w:w="3357" w:type="dxa"/>
          </w:tcPr>
          <w:p>
            <w:pPr>
              <w:spacing w:before="219" w:line="231" w:lineRule="auto"/>
              <w:rPr>
                <w:rFonts w:hint="eastAsia" w:ascii="仿宋_GB2312" w:hAnsi="仿宋_GB2312" w:eastAsia="仿宋_GB2312" w:cs="仿宋_GB2312"/>
                <w:spacing w:val="2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sz w:val="24"/>
              </w:rPr>
              <w:t>矿石成分显示正确并带回正确的基地</w:t>
            </w:r>
          </w:p>
        </w:tc>
        <w:tc>
          <w:tcPr>
            <w:tcW w:w="990" w:type="dxa"/>
          </w:tcPr>
          <w:p>
            <w:pPr>
              <w:spacing w:before="219" w:line="232" w:lineRule="auto"/>
              <w:jc w:val="center"/>
              <w:rPr>
                <w:rFonts w:hint="eastAsia" w:ascii="仿宋_GB2312" w:hAnsi="仿宋_GB2312" w:eastAsia="仿宋_GB2312" w:cs="仿宋_GB2312"/>
                <w:spacing w:val="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1935" w:type="dxa"/>
          </w:tcPr>
          <w:p>
            <w:pPr>
              <w:spacing w:before="227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比赛计时</w:t>
            </w:r>
          </w:p>
        </w:tc>
        <w:tc>
          <w:tcPr>
            <w:tcW w:w="3357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0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pacing w:val="2"/>
                <w:sz w:val="24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合计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1935" w:type="dxa"/>
          </w:tcPr>
          <w:p>
            <w:pPr>
              <w:spacing w:before="227" w:line="231" w:lineRule="auto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重启次数</w:t>
            </w: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357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0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总得分</w:t>
            </w:r>
          </w:p>
        </w:tc>
        <w:tc>
          <w:tcPr>
            <w:tcW w:w="3067" w:type="dxa"/>
            <w:gridSpan w:val="2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p>
      <w:pPr>
        <w:spacing w:before="75" w:line="232" w:lineRule="auto"/>
        <w:rPr>
          <w:rFonts w:hint="eastAsia" w:ascii="仿宋_GB2312" w:hAnsi="仿宋_GB2312" w:eastAsia="仿宋_GB2312" w:cs="仿宋_GB2312"/>
          <w:spacing w:val="5"/>
          <w:sz w:val="24"/>
        </w:rPr>
      </w:pPr>
    </w:p>
    <w:p>
      <w:pPr>
        <w:spacing w:before="75" w:line="232" w:lineRule="auto"/>
        <w:rPr>
          <w:rFonts w:hint="eastAsia" w:ascii="仿宋_GB2312" w:hAnsi="仿宋_GB2312" w:eastAsia="仿宋_GB2312" w:cs="仿宋_GB2312"/>
          <w:spacing w:val="5"/>
          <w:sz w:val="24"/>
        </w:rPr>
      </w:pP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5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5"/>
          <w:sz w:val="24"/>
        </w:rPr>
        <w:t>裁判员签字：</w:t>
      </w:r>
      <w:r>
        <w:rPr>
          <w:rFonts w:hint="eastAsia" w:ascii="仿宋_GB2312" w:hAnsi="仿宋_GB2312" w:eastAsia="仿宋_GB2312" w:cs="仿宋_GB2312"/>
          <w:spacing w:val="5"/>
          <w:sz w:val="24"/>
          <w:u w:val="single"/>
        </w:rPr>
        <w:t xml:space="preserve">                                                        </w:t>
      </w: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10"/>
          <w:sz w:val="24"/>
        </w:rPr>
      </w:pP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5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10"/>
          <w:sz w:val="24"/>
        </w:rPr>
        <w:t>参</w:t>
      </w:r>
      <w:r>
        <w:rPr>
          <w:rFonts w:hint="eastAsia" w:ascii="仿宋_GB2312" w:hAnsi="仿宋_GB2312" w:eastAsia="仿宋_GB2312" w:cs="仿宋_GB2312"/>
          <w:spacing w:val="5"/>
          <w:sz w:val="24"/>
        </w:rPr>
        <w:t>赛队员代表：</w:t>
      </w:r>
      <w:r>
        <w:rPr>
          <w:rFonts w:hint="eastAsia" w:ascii="仿宋_GB2312" w:hAnsi="仿宋_GB2312" w:eastAsia="仿宋_GB2312" w:cs="仿宋_GB2312"/>
          <w:spacing w:val="5"/>
          <w:sz w:val="24"/>
          <w:u w:val="single"/>
        </w:rPr>
        <w:t xml:space="preserve">                                                     </w:t>
      </w: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7"/>
          <w:sz w:val="24"/>
        </w:rPr>
      </w:pPr>
    </w:p>
    <w:p>
      <w:pPr>
        <w:spacing w:before="75" w:line="560" w:lineRule="exact"/>
        <w:ind w:left="356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pacing w:val="7"/>
          <w:sz w:val="24"/>
        </w:rPr>
        <w:t>取消参赛资格原因：</w:t>
      </w:r>
      <w:r>
        <w:rPr>
          <w:rFonts w:hint="eastAsia" w:ascii="仿宋_GB2312" w:hAnsi="仿宋_GB2312" w:eastAsia="仿宋_GB2312" w:cs="仿宋_GB2312"/>
          <w:spacing w:val="7"/>
          <w:sz w:val="24"/>
          <w:u w:val="single"/>
        </w:rPr>
        <w:t xml:space="preserve">                                                   </w:t>
      </w:r>
    </w:p>
    <w:p>
      <w:pPr>
        <w:pStyle w:val="8"/>
        <w:spacing w:before="90" w:beforeAutospacing="0" w:afterAutospacing="0" w:line="230" w:lineRule="auto"/>
        <w:jc w:val="center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</w:rPr>
        <w:t>GAR火星移民</w:t>
      </w:r>
      <w:r>
        <w:rPr>
          <w:rFonts w:hint="eastAsia" w:ascii="黑体" w:hAnsi="黑体" w:eastAsia="黑体" w:cs="仿宋_GB2312"/>
          <w:spacing w:val="4"/>
          <w:sz w:val="32"/>
          <w:szCs w:val="32"/>
        </w:rPr>
        <w:t>竞</w:t>
      </w:r>
      <w:r>
        <w:rPr>
          <w:rFonts w:hint="eastAsia" w:ascii="黑体" w:hAnsi="黑体" w:eastAsia="黑体" w:cs="仿宋_GB2312"/>
          <w:spacing w:val="3"/>
          <w:sz w:val="32"/>
          <w:szCs w:val="32"/>
        </w:rPr>
        <w:t>赛高中组记分表</w:t>
      </w:r>
    </w:p>
    <w:p>
      <w:pPr>
        <w:spacing w:line="263" w:lineRule="auto"/>
        <w:rPr>
          <w:rFonts w:hint="eastAsia" w:ascii="仿宋_GB2312" w:hAnsi="仿宋_GB2312" w:eastAsia="仿宋_GB2312" w:cs="仿宋_GB2312"/>
        </w:rPr>
      </w:pPr>
    </w:p>
    <w:p>
      <w:pPr>
        <w:spacing w:line="264" w:lineRule="auto"/>
        <w:rPr>
          <w:rFonts w:hint="eastAsia" w:ascii="仿宋_GB2312" w:hAnsi="仿宋_GB2312" w:eastAsia="仿宋_GB2312" w:cs="仿宋_GB2312"/>
        </w:rPr>
      </w:pPr>
    </w:p>
    <w:p>
      <w:pPr>
        <w:spacing w:before="75" w:line="228" w:lineRule="auto"/>
        <w:ind w:left="129"/>
        <w:rPr>
          <w:rFonts w:hint="eastAsia" w:ascii="仿宋_GB2312" w:hAnsi="仿宋_GB2312" w:eastAsia="仿宋_GB2312" w:cs="仿宋_GB2312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-1"/>
          <w:sz w:val="24"/>
        </w:rPr>
        <w:t>市(区)</w:t>
      </w:r>
      <w:r>
        <w:rPr>
          <w:rFonts w:hint="eastAsia" w:ascii="仿宋_GB2312" w:hAnsi="仿宋_GB2312" w:eastAsia="仿宋_GB2312" w:cs="仿宋_GB2312"/>
          <w:spacing w:val="-1"/>
          <w:sz w:val="24"/>
          <w:u w:val="single"/>
        </w:rPr>
        <w:t xml:space="preserve">          </w:t>
      </w:r>
      <w:r>
        <w:rPr>
          <w:rFonts w:hint="eastAsia" w:ascii="仿宋_GB2312" w:hAnsi="仿宋_GB2312" w:eastAsia="仿宋_GB2312" w:cs="仿宋_GB2312"/>
          <w:sz w:val="24"/>
        </w:rPr>
        <w:t>参赛学校</w:t>
      </w:r>
      <w:r>
        <w:rPr>
          <w:rFonts w:hint="eastAsia" w:ascii="仿宋_GB2312" w:hAnsi="仿宋_GB2312" w:eastAsia="仿宋_GB2312" w:cs="仿宋_GB2312"/>
          <w:sz w:val="24"/>
          <w:u w:val="single"/>
        </w:rPr>
        <w:t xml:space="preserve">                     </w:t>
      </w:r>
      <w:r>
        <w:rPr>
          <w:rFonts w:hint="eastAsia" w:ascii="仿宋_GB2312" w:hAnsi="仿宋_GB2312" w:eastAsia="仿宋_GB2312" w:cs="仿宋_GB2312"/>
          <w:sz w:val="24"/>
        </w:rPr>
        <w:t>队伍编号</w:t>
      </w:r>
      <w:r>
        <w:rPr>
          <w:rFonts w:hint="eastAsia" w:ascii="仿宋_GB2312" w:hAnsi="仿宋_GB2312" w:eastAsia="仿宋_GB2312" w:cs="仿宋_GB2312"/>
          <w:sz w:val="24"/>
          <w:u w:val="single"/>
        </w:rPr>
        <w:t xml:space="preserve">                </w:t>
      </w:r>
    </w:p>
    <w:p>
      <w:pPr>
        <w:rPr>
          <w:rFonts w:hint="eastAsia" w:ascii="仿宋_GB2312" w:hAnsi="仿宋_GB2312" w:eastAsia="仿宋_GB2312" w:cs="仿宋_GB2312"/>
          <w:sz w:val="24"/>
        </w:rPr>
      </w:pPr>
    </w:p>
    <w:p>
      <w:pPr>
        <w:spacing w:line="94" w:lineRule="auto"/>
        <w:rPr>
          <w:rFonts w:hint="eastAsia" w:ascii="仿宋_GB2312" w:hAnsi="仿宋_GB2312" w:eastAsia="仿宋_GB2312" w:cs="仿宋_GB2312"/>
          <w:sz w:val="24"/>
        </w:rPr>
      </w:pPr>
    </w:p>
    <w:tbl>
      <w:tblPr>
        <w:tblStyle w:val="16"/>
        <w:tblW w:w="9349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5"/>
        <w:gridCol w:w="3357"/>
        <w:gridCol w:w="990"/>
        <w:gridCol w:w="1505"/>
        <w:gridCol w:w="156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0" w:hRule="atLeast"/>
          <w:jc w:val="center"/>
        </w:trPr>
        <w:tc>
          <w:tcPr>
            <w:tcW w:w="1935" w:type="dxa"/>
          </w:tcPr>
          <w:p>
            <w:pPr>
              <w:spacing w:before="218" w:line="231" w:lineRule="auto"/>
              <w:ind w:left="255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6"/>
                <w:sz w:val="24"/>
              </w:rPr>
              <w:t>评分类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别</w:t>
            </w:r>
          </w:p>
        </w:tc>
        <w:tc>
          <w:tcPr>
            <w:tcW w:w="3357" w:type="dxa"/>
          </w:tcPr>
          <w:p>
            <w:pPr>
              <w:spacing w:before="218" w:line="231" w:lineRule="auto"/>
              <w:ind w:left="1397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8"/>
                <w:sz w:val="24"/>
              </w:rPr>
              <w:t>评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分项目</w:t>
            </w:r>
          </w:p>
        </w:tc>
        <w:tc>
          <w:tcPr>
            <w:tcW w:w="990" w:type="dxa"/>
          </w:tcPr>
          <w:p>
            <w:pPr>
              <w:spacing w:before="218" w:line="231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计分</w:t>
            </w:r>
          </w:p>
        </w:tc>
        <w:tc>
          <w:tcPr>
            <w:tcW w:w="1505" w:type="dxa"/>
          </w:tcPr>
          <w:p>
            <w:pPr>
              <w:spacing w:before="219" w:line="231" w:lineRule="auto"/>
              <w:ind w:left="149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6"/>
                <w:sz w:val="24"/>
              </w:rPr>
              <w:t>第一轮得分</w:t>
            </w:r>
          </w:p>
        </w:tc>
        <w:tc>
          <w:tcPr>
            <w:tcW w:w="1562" w:type="dxa"/>
          </w:tcPr>
          <w:p>
            <w:pPr>
              <w:spacing w:before="218" w:line="231" w:lineRule="auto"/>
              <w:ind w:left="285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第二轮得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7"/>
                <w:sz w:val="24"/>
              </w:rPr>
              <w:t>出发</w:t>
            </w:r>
          </w:p>
        </w:tc>
        <w:tc>
          <w:tcPr>
            <w:tcW w:w="3357" w:type="dxa"/>
          </w:tcPr>
          <w:p>
            <w:pPr>
              <w:spacing w:before="215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7"/>
                <w:sz w:val="24"/>
              </w:rPr>
              <w:t>机器人垂直投影离开基地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  <w:jc w:val="center"/>
        </w:trPr>
        <w:tc>
          <w:tcPr>
            <w:tcW w:w="1935" w:type="dxa"/>
          </w:tcPr>
          <w:p>
            <w:pPr>
              <w:spacing w:before="214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4"/>
                <w:sz w:val="24"/>
              </w:rPr>
              <w:t>开采地下水</w:t>
            </w:r>
          </w:p>
        </w:tc>
        <w:tc>
          <w:tcPr>
            <w:tcW w:w="3357" w:type="dxa"/>
          </w:tcPr>
          <w:p>
            <w:pPr>
              <w:spacing w:before="214" w:line="231" w:lineRule="auto"/>
              <w:rPr>
                <w:rFonts w:hint="eastAsia" w:ascii="仿宋_GB2312" w:hAnsi="仿宋_GB2312" w:eastAsia="仿宋_GB2312" w:cs="仿宋_GB2312"/>
                <w:spacing w:val="8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8"/>
                <w:sz w:val="24"/>
              </w:rPr>
              <w:t>1.水模型脱离初始孔位</w:t>
            </w:r>
          </w:p>
          <w:p>
            <w:pPr>
              <w:spacing w:before="214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2.水模型带回基地</w:t>
            </w:r>
          </w:p>
        </w:tc>
        <w:tc>
          <w:tcPr>
            <w:tcW w:w="990" w:type="dxa"/>
          </w:tcPr>
          <w:p>
            <w:pPr>
              <w:spacing w:before="214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9"/>
                <w:sz w:val="24"/>
              </w:rPr>
              <w:t>避开火星山脉</w:t>
            </w:r>
          </w:p>
        </w:tc>
        <w:tc>
          <w:tcPr>
            <w:tcW w:w="3357" w:type="dxa"/>
          </w:tcPr>
          <w:p>
            <w:pPr>
              <w:spacing w:before="215" w:line="230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4"/>
                <w:sz w:val="24"/>
              </w:rPr>
              <w:t>山脉模型未完全离开摆放区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spacing w:before="215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5" w:line="232" w:lineRule="auto"/>
              <w:rPr>
                <w:rFonts w:hint="eastAsia" w:ascii="仿宋_GB2312" w:hAnsi="仿宋_GB2312" w:eastAsia="仿宋_GB2312" w:cs="仿宋_GB2312"/>
                <w:spacing w:val="9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9"/>
                <w:sz w:val="24"/>
              </w:rPr>
              <w:t>开采矿产</w:t>
            </w:r>
          </w:p>
        </w:tc>
        <w:tc>
          <w:tcPr>
            <w:tcW w:w="3357" w:type="dxa"/>
          </w:tcPr>
          <w:p>
            <w:pPr>
              <w:spacing w:before="215" w:line="230" w:lineRule="auto"/>
              <w:rPr>
                <w:rFonts w:hint="eastAsia" w:ascii="仿宋_GB2312" w:hAnsi="仿宋_GB2312" w:eastAsia="仿宋_GB2312" w:cs="仿宋_GB2312"/>
                <w:spacing w:val="14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14"/>
                <w:sz w:val="24"/>
              </w:rPr>
              <w:t>矿石掉落至接收筐</w:t>
            </w:r>
          </w:p>
        </w:tc>
        <w:tc>
          <w:tcPr>
            <w:tcW w:w="990" w:type="dxa"/>
          </w:tcPr>
          <w:p>
            <w:pPr>
              <w:spacing w:before="215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60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spacing w:before="215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18" w:line="229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地质勘探</w:t>
            </w:r>
          </w:p>
        </w:tc>
        <w:tc>
          <w:tcPr>
            <w:tcW w:w="3357" w:type="dxa"/>
          </w:tcPr>
          <w:p>
            <w:pPr>
              <w:spacing w:before="218" w:line="229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</w:rPr>
              <w:t>仪表盘翻起并保持到比赛结束</w:t>
            </w:r>
          </w:p>
        </w:tc>
        <w:tc>
          <w:tcPr>
            <w:tcW w:w="990" w:type="dxa"/>
          </w:tcPr>
          <w:p>
            <w:pPr>
              <w:spacing w:before="217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7"/>
                <w:sz w:val="24"/>
              </w:rPr>
              <w:t>4</w:t>
            </w:r>
            <w:r>
              <w:rPr>
                <w:rFonts w:hint="eastAsia" w:ascii="仿宋_GB2312" w:hAnsi="仿宋_GB2312" w:eastAsia="仿宋_GB2312" w:cs="仿宋_GB2312"/>
                <w:spacing w:val="5"/>
                <w:sz w:val="24"/>
              </w:rPr>
              <w:t>0分</w:t>
            </w:r>
          </w:p>
        </w:tc>
        <w:tc>
          <w:tcPr>
            <w:tcW w:w="1505" w:type="dxa"/>
          </w:tcPr>
          <w:p>
            <w:pPr>
              <w:spacing w:before="218" w:line="231" w:lineRule="auto"/>
              <w:ind w:left="930"/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20" w:line="228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建设生活区</w:t>
            </w:r>
          </w:p>
        </w:tc>
        <w:tc>
          <w:tcPr>
            <w:tcW w:w="3357" w:type="dxa"/>
          </w:tcPr>
          <w:p>
            <w:pPr>
              <w:spacing w:before="219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sz w:val="24"/>
              </w:rPr>
              <w:t>材料模型放置在传送带上， 传送到接收筐</w:t>
            </w:r>
          </w:p>
        </w:tc>
        <w:tc>
          <w:tcPr>
            <w:tcW w:w="990" w:type="dxa"/>
          </w:tcPr>
          <w:p>
            <w:pPr>
              <w:spacing w:before="219" w:line="232" w:lineRule="auto"/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60</w:t>
            </w:r>
            <w:r>
              <w:rPr>
                <w:rFonts w:hint="eastAsia" w:ascii="仿宋_GB2312" w:hAnsi="仿宋_GB2312" w:eastAsia="仿宋_GB2312" w:cs="仿宋_GB2312"/>
                <w:spacing w:val="1"/>
                <w:sz w:val="24"/>
              </w:rPr>
              <w:t>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20" w:line="228" w:lineRule="auto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紧急救援</w:t>
            </w:r>
          </w:p>
        </w:tc>
        <w:tc>
          <w:tcPr>
            <w:tcW w:w="3357" w:type="dxa"/>
          </w:tcPr>
          <w:p>
            <w:pPr>
              <w:spacing w:before="219" w:line="231" w:lineRule="auto"/>
              <w:rPr>
                <w:rFonts w:hint="eastAsia" w:ascii="仿宋_GB2312" w:hAnsi="仿宋_GB2312" w:eastAsia="仿宋_GB2312" w:cs="仿宋_GB2312"/>
                <w:spacing w:val="2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sz w:val="24"/>
              </w:rPr>
              <w:t>机器人垂直投影完全在基地，并闪烁灯光</w:t>
            </w:r>
          </w:p>
        </w:tc>
        <w:tc>
          <w:tcPr>
            <w:tcW w:w="990" w:type="dxa"/>
          </w:tcPr>
          <w:p>
            <w:pPr>
              <w:spacing w:before="219" w:line="232" w:lineRule="auto"/>
              <w:jc w:val="center"/>
              <w:rPr>
                <w:rFonts w:hint="eastAsia" w:ascii="仿宋_GB2312" w:hAnsi="仿宋_GB2312" w:eastAsia="仿宋_GB2312" w:cs="仿宋_GB2312"/>
                <w:spacing w:val="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  <w:jc w:val="center"/>
        </w:trPr>
        <w:tc>
          <w:tcPr>
            <w:tcW w:w="1935" w:type="dxa"/>
          </w:tcPr>
          <w:p>
            <w:pPr>
              <w:spacing w:before="220" w:line="228" w:lineRule="auto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矿石检测</w:t>
            </w:r>
          </w:p>
        </w:tc>
        <w:tc>
          <w:tcPr>
            <w:tcW w:w="3357" w:type="dxa"/>
          </w:tcPr>
          <w:p>
            <w:pPr>
              <w:spacing w:before="219" w:line="231" w:lineRule="auto"/>
              <w:rPr>
                <w:rFonts w:hint="eastAsia" w:ascii="仿宋_GB2312" w:hAnsi="仿宋_GB2312" w:eastAsia="仿宋_GB2312" w:cs="仿宋_GB2312"/>
                <w:spacing w:val="20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0"/>
                <w:sz w:val="24"/>
              </w:rPr>
              <w:t>矿石成分显示正确并带回正确基地</w:t>
            </w:r>
          </w:p>
        </w:tc>
        <w:tc>
          <w:tcPr>
            <w:tcW w:w="990" w:type="dxa"/>
          </w:tcPr>
          <w:p>
            <w:pPr>
              <w:spacing w:before="219" w:line="232" w:lineRule="auto"/>
              <w:jc w:val="center"/>
              <w:rPr>
                <w:rFonts w:hint="eastAsia" w:ascii="仿宋_GB2312" w:hAnsi="仿宋_GB2312" w:eastAsia="仿宋_GB2312" w:cs="仿宋_GB2312"/>
                <w:spacing w:val="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30分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1935" w:type="dxa"/>
          </w:tcPr>
          <w:p>
            <w:pPr>
              <w:spacing w:before="227" w:line="231" w:lineRule="auto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比赛计时</w:t>
            </w:r>
          </w:p>
        </w:tc>
        <w:tc>
          <w:tcPr>
            <w:tcW w:w="3357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0" w:type="dxa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pacing w:val="2"/>
                <w:sz w:val="24"/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2"/>
                <w:sz w:val="24"/>
              </w:rPr>
              <w:t>合计</w:t>
            </w:r>
          </w:p>
        </w:tc>
        <w:tc>
          <w:tcPr>
            <w:tcW w:w="1505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1562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5" w:hRule="atLeast"/>
          <w:jc w:val="center"/>
        </w:trPr>
        <w:tc>
          <w:tcPr>
            <w:tcW w:w="1935" w:type="dxa"/>
          </w:tcPr>
          <w:p>
            <w:pPr>
              <w:spacing w:before="227" w:line="231" w:lineRule="auto"/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重启次数</w:t>
            </w: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3357" w:type="dxa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  <w:tc>
          <w:tcPr>
            <w:tcW w:w="990" w:type="dxa"/>
          </w:tcPr>
          <w:p>
            <w:pPr>
              <w:rPr>
                <w:rFonts w:hint="eastAsia" w:ascii="仿宋_GB2312" w:hAnsi="仿宋_GB2312" w:eastAsia="仿宋_GB2312" w:cs="仿宋_GB2312"/>
                <w:spacing w:val="-1"/>
                <w:sz w:val="24"/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  <w:r>
              <w:rPr>
                <w:rFonts w:hint="eastAsia" w:ascii="仿宋_GB2312" w:hAnsi="仿宋_GB2312" w:eastAsia="仿宋_GB2312" w:cs="仿宋_GB2312"/>
                <w:spacing w:val="-1"/>
                <w:sz w:val="24"/>
              </w:rPr>
              <w:t>总得分</w:t>
            </w:r>
          </w:p>
        </w:tc>
        <w:tc>
          <w:tcPr>
            <w:tcW w:w="3067" w:type="dxa"/>
            <w:gridSpan w:val="2"/>
          </w:tcPr>
          <w:p>
            <w:pPr>
              <w:rPr>
                <w:rFonts w:hint="eastAsia" w:ascii="仿宋_GB2312" w:hAnsi="仿宋_GB2312" w:eastAsia="仿宋_GB2312" w:cs="仿宋_GB2312"/>
                <w:sz w:val="24"/>
              </w:rPr>
            </w:pPr>
          </w:p>
        </w:tc>
      </w:tr>
    </w:tbl>
    <w:p>
      <w:pPr>
        <w:spacing w:before="75" w:line="232" w:lineRule="auto"/>
        <w:rPr>
          <w:rFonts w:hint="eastAsia" w:ascii="仿宋_GB2312" w:hAnsi="仿宋_GB2312" w:eastAsia="仿宋_GB2312" w:cs="仿宋_GB2312"/>
          <w:spacing w:val="5"/>
          <w:sz w:val="24"/>
        </w:rPr>
      </w:pPr>
    </w:p>
    <w:p>
      <w:pPr>
        <w:spacing w:before="75" w:line="232" w:lineRule="auto"/>
        <w:rPr>
          <w:rFonts w:hint="eastAsia" w:ascii="仿宋_GB2312" w:hAnsi="仿宋_GB2312" w:eastAsia="仿宋_GB2312" w:cs="仿宋_GB2312"/>
          <w:spacing w:val="5"/>
          <w:sz w:val="24"/>
        </w:rPr>
      </w:pP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5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5"/>
          <w:sz w:val="24"/>
        </w:rPr>
        <w:t>裁判员签字：</w:t>
      </w:r>
      <w:r>
        <w:rPr>
          <w:rFonts w:hint="eastAsia" w:ascii="仿宋_GB2312" w:hAnsi="仿宋_GB2312" w:eastAsia="仿宋_GB2312" w:cs="仿宋_GB2312"/>
          <w:spacing w:val="5"/>
          <w:sz w:val="24"/>
          <w:u w:val="single"/>
        </w:rPr>
        <w:t xml:space="preserve">                                                        </w:t>
      </w: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10"/>
          <w:sz w:val="24"/>
        </w:rPr>
      </w:pP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5"/>
          <w:sz w:val="24"/>
          <w:u w:val="single"/>
        </w:rPr>
      </w:pPr>
      <w:r>
        <w:rPr>
          <w:rFonts w:hint="eastAsia" w:ascii="仿宋_GB2312" w:hAnsi="仿宋_GB2312" w:eastAsia="仿宋_GB2312" w:cs="仿宋_GB2312"/>
          <w:spacing w:val="10"/>
          <w:sz w:val="24"/>
        </w:rPr>
        <w:t>参</w:t>
      </w:r>
      <w:r>
        <w:rPr>
          <w:rFonts w:hint="eastAsia" w:ascii="仿宋_GB2312" w:hAnsi="仿宋_GB2312" w:eastAsia="仿宋_GB2312" w:cs="仿宋_GB2312"/>
          <w:spacing w:val="5"/>
          <w:sz w:val="24"/>
        </w:rPr>
        <w:t>赛队员代表：</w:t>
      </w:r>
      <w:r>
        <w:rPr>
          <w:rFonts w:hint="eastAsia" w:ascii="仿宋_GB2312" w:hAnsi="仿宋_GB2312" w:eastAsia="仿宋_GB2312" w:cs="仿宋_GB2312"/>
          <w:spacing w:val="5"/>
          <w:sz w:val="24"/>
          <w:u w:val="single"/>
        </w:rPr>
        <w:t xml:space="preserve">                                                     </w:t>
      </w:r>
    </w:p>
    <w:p>
      <w:pPr>
        <w:spacing w:before="75" w:line="560" w:lineRule="exact"/>
        <w:ind w:left="359"/>
        <w:rPr>
          <w:rFonts w:hint="eastAsia" w:ascii="仿宋_GB2312" w:hAnsi="仿宋_GB2312" w:eastAsia="仿宋_GB2312" w:cs="仿宋_GB2312"/>
          <w:spacing w:val="7"/>
          <w:sz w:val="24"/>
        </w:rPr>
      </w:pPr>
    </w:p>
    <w:p>
      <w:pPr>
        <w:spacing w:before="75" w:line="560" w:lineRule="exact"/>
        <w:ind w:left="356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 w:ascii="仿宋_GB2312" w:hAnsi="仿宋_GB2312" w:eastAsia="仿宋_GB2312" w:cs="仿宋_GB2312"/>
          <w:spacing w:val="7"/>
          <w:sz w:val="24"/>
        </w:rPr>
        <w:t>取消参赛资格原因：</w:t>
      </w:r>
      <w:r>
        <w:rPr>
          <w:rFonts w:hint="eastAsia" w:ascii="仿宋_GB2312" w:hAnsi="仿宋_GB2312" w:eastAsia="仿宋_GB2312" w:cs="仿宋_GB2312"/>
          <w:spacing w:val="7"/>
          <w:sz w:val="24"/>
          <w:u w:val="single"/>
        </w:rPr>
        <w:t xml:space="preserve">                                                 </w:t>
      </w:r>
    </w:p>
    <w:sectPr>
      <w:footerReference r:id="rId5" w:type="default"/>
      <w:pgSz w:w="11910" w:h="16840"/>
      <w:pgMar w:top="1431" w:right="1483" w:bottom="1157" w:left="1786" w:header="0" w:footer="979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552054D-597A-482F-9DD7-E0A97410F43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397F3E52-5533-4408-937B-679E4C685EF8}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3A4EEB2-12C2-4D1A-B3B8-DF2C01CB297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E6D91D5A-8AD3-4C33-BEC4-19313AA6385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F4FAC345-986A-4E0F-AEDC-B5E59061DA3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6" w:fontKey="{DD3483D1-5524-4CEE-9E68-F265D44362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080"/>
      <w:rPr>
        <w:rFonts w:ascii="宋体" w:hAnsi="宋体" w:eastAsia="宋体" w:cs="宋体"/>
        <w:sz w:val="17"/>
        <w:szCs w:val="17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rPr>
        <w:rFonts w:ascii="宋体" w:hAnsi="宋体" w:eastAsia="宋体" w:cs="宋体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2" w:lineRule="auto"/>
      <w:ind w:left="4034"/>
      <w:rPr>
        <w:rFonts w:ascii="Calibri" w:hAnsi="Calibri" w:eastAsia="Calibri" w:cs="Calibri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M0MDlhZDNiODZmYzU0ZmUyMGRkZjM0ZmM0MzkxMDcifQ=="/>
    <w:docVar w:name="KSO_WPS_MARK_KEY" w:val="497e7306-c57a-4eb9-8a7f-71d7a40e451b"/>
  </w:docVars>
  <w:rsids>
    <w:rsidRoot w:val="2AEA7E4A"/>
    <w:rsid w:val="000A63C8"/>
    <w:rsid w:val="00155A01"/>
    <w:rsid w:val="001F19D6"/>
    <w:rsid w:val="00461B61"/>
    <w:rsid w:val="00462F77"/>
    <w:rsid w:val="005D5860"/>
    <w:rsid w:val="009276CA"/>
    <w:rsid w:val="009B4092"/>
    <w:rsid w:val="00AC530F"/>
    <w:rsid w:val="00AD110D"/>
    <w:rsid w:val="00B8479C"/>
    <w:rsid w:val="00BD7ECF"/>
    <w:rsid w:val="00C81988"/>
    <w:rsid w:val="00D917E5"/>
    <w:rsid w:val="00E73390"/>
    <w:rsid w:val="00EC4DD2"/>
    <w:rsid w:val="00ED2BC0"/>
    <w:rsid w:val="00FD68D7"/>
    <w:rsid w:val="020E0FD5"/>
    <w:rsid w:val="05B56806"/>
    <w:rsid w:val="060F3B79"/>
    <w:rsid w:val="07561A4B"/>
    <w:rsid w:val="07FE5563"/>
    <w:rsid w:val="08F67C9F"/>
    <w:rsid w:val="093F783D"/>
    <w:rsid w:val="0A663E6C"/>
    <w:rsid w:val="0A6F2D97"/>
    <w:rsid w:val="0A844F6D"/>
    <w:rsid w:val="0B131099"/>
    <w:rsid w:val="0B6F4ED0"/>
    <w:rsid w:val="0DB65E95"/>
    <w:rsid w:val="113A6834"/>
    <w:rsid w:val="11BC4469"/>
    <w:rsid w:val="14E46C49"/>
    <w:rsid w:val="16D77CD2"/>
    <w:rsid w:val="17C86F8A"/>
    <w:rsid w:val="18771F8A"/>
    <w:rsid w:val="197744D1"/>
    <w:rsid w:val="19C86B39"/>
    <w:rsid w:val="1B03607B"/>
    <w:rsid w:val="20C20B07"/>
    <w:rsid w:val="214B72D0"/>
    <w:rsid w:val="21853866"/>
    <w:rsid w:val="22EB2288"/>
    <w:rsid w:val="24082954"/>
    <w:rsid w:val="24CC07F0"/>
    <w:rsid w:val="2544757F"/>
    <w:rsid w:val="262E5F76"/>
    <w:rsid w:val="2659042E"/>
    <w:rsid w:val="26C3198C"/>
    <w:rsid w:val="26DC2B41"/>
    <w:rsid w:val="278301EA"/>
    <w:rsid w:val="27AF0763"/>
    <w:rsid w:val="291E5D2B"/>
    <w:rsid w:val="298F528D"/>
    <w:rsid w:val="2AEA7E4A"/>
    <w:rsid w:val="2B58559B"/>
    <w:rsid w:val="2BB85229"/>
    <w:rsid w:val="2CDC2BCF"/>
    <w:rsid w:val="2E35626E"/>
    <w:rsid w:val="303E1588"/>
    <w:rsid w:val="307D4226"/>
    <w:rsid w:val="3196268B"/>
    <w:rsid w:val="32602287"/>
    <w:rsid w:val="33294383"/>
    <w:rsid w:val="39564909"/>
    <w:rsid w:val="39A940AA"/>
    <w:rsid w:val="3A0976D5"/>
    <w:rsid w:val="3A2D12E7"/>
    <w:rsid w:val="3A546BB6"/>
    <w:rsid w:val="3B33084E"/>
    <w:rsid w:val="3C7444C5"/>
    <w:rsid w:val="3D85696B"/>
    <w:rsid w:val="3FFA00B1"/>
    <w:rsid w:val="3FFFD7DE"/>
    <w:rsid w:val="40384169"/>
    <w:rsid w:val="42DC527F"/>
    <w:rsid w:val="4484797D"/>
    <w:rsid w:val="44EF0897"/>
    <w:rsid w:val="45886FF9"/>
    <w:rsid w:val="47E371BC"/>
    <w:rsid w:val="49A86192"/>
    <w:rsid w:val="49CF6F89"/>
    <w:rsid w:val="4A923FA5"/>
    <w:rsid w:val="4D133953"/>
    <w:rsid w:val="4E311C06"/>
    <w:rsid w:val="4E872E59"/>
    <w:rsid w:val="4E8E74E2"/>
    <w:rsid w:val="4E9E4CD7"/>
    <w:rsid w:val="4FB10F5C"/>
    <w:rsid w:val="512F1E25"/>
    <w:rsid w:val="51A21F10"/>
    <w:rsid w:val="5338366B"/>
    <w:rsid w:val="54B43E25"/>
    <w:rsid w:val="560960BD"/>
    <w:rsid w:val="573A6105"/>
    <w:rsid w:val="577E64AD"/>
    <w:rsid w:val="57957222"/>
    <w:rsid w:val="57B1418D"/>
    <w:rsid w:val="57BB4615"/>
    <w:rsid w:val="57C93ACB"/>
    <w:rsid w:val="59AA16C9"/>
    <w:rsid w:val="5B2C231C"/>
    <w:rsid w:val="5B370F48"/>
    <w:rsid w:val="631B5E0D"/>
    <w:rsid w:val="65272C7B"/>
    <w:rsid w:val="662C0207"/>
    <w:rsid w:val="66545D8C"/>
    <w:rsid w:val="66DD0E89"/>
    <w:rsid w:val="67135C6C"/>
    <w:rsid w:val="67237EBF"/>
    <w:rsid w:val="68975621"/>
    <w:rsid w:val="69286353"/>
    <w:rsid w:val="69EF6E7C"/>
    <w:rsid w:val="6A902328"/>
    <w:rsid w:val="6A9E1C98"/>
    <w:rsid w:val="6B5B2036"/>
    <w:rsid w:val="6C7847F1"/>
    <w:rsid w:val="6CBD03C8"/>
    <w:rsid w:val="6D1168E8"/>
    <w:rsid w:val="6D4F1A09"/>
    <w:rsid w:val="6E9A3EDC"/>
    <w:rsid w:val="6F4B1086"/>
    <w:rsid w:val="714C615E"/>
    <w:rsid w:val="71AB4B40"/>
    <w:rsid w:val="72F72547"/>
    <w:rsid w:val="73257B3E"/>
    <w:rsid w:val="735C18CA"/>
    <w:rsid w:val="73707779"/>
    <w:rsid w:val="739C7022"/>
    <w:rsid w:val="7467573C"/>
    <w:rsid w:val="749173F7"/>
    <w:rsid w:val="75880E08"/>
    <w:rsid w:val="78021921"/>
    <w:rsid w:val="79332AFC"/>
    <w:rsid w:val="7AB24BBE"/>
    <w:rsid w:val="7AF7BFA2"/>
    <w:rsid w:val="7B623B07"/>
    <w:rsid w:val="7C3F2607"/>
    <w:rsid w:val="7CB27B97"/>
    <w:rsid w:val="7F3F191C"/>
    <w:rsid w:val="7FA206DC"/>
    <w:rsid w:val="8216C15C"/>
    <w:rsid w:val="9F7F688F"/>
    <w:rsid w:val="AD7E6C43"/>
    <w:rsid w:val="B3CFF333"/>
    <w:rsid w:val="BBCBC967"/>
    <w:rsid w:val="BFA762E1"/>
    <w:rsid w:val="E36F421D"/>
    <w:rsid w:val="E79300F5"/>
    <w:rsid w:val="F79DD004"/>
    <w:rsid w:val="FF3DC63D"/>
    <w:rsid w:val="FFE7FD49"/>
    <w:rsid w:val="FFF5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line="569" w:lineRule="exact"/>
      <w:ind w:left="1061" w:right="1075"/>
      <w:jc w:val="center"/>
      <w:outlineLvl w:val="0"/>
    </w:pPr>
    <w:rPr>
      <w:rFonts w:ascii="Microsoft JhengHei" w:hAnsi="Microsoft JhengHei" w:eastAsia="Microsoft JhengHei" w:cs="Microsoft JhengHei"/>
      <w:b/>
      <w:bCs/>
      <w:sz w:val="36"/>
      <w:szCs w:val="36"/>
    </w:rPr>
  </w:style>
  <w:style w:type="paragraph" w:styleId="3">
    <w:name w:val="heading 4"/>
    <w:basedOn w:val="1"/>
    <w:next w:val="1"/>
    <w:qFormat/>
    <w:uiPriority w:val="1"/>
    <w:pPr>
      <w:ind w:left="877" w:hanging="430"/>
      <w:outlineLvl w:val="3"/>
    </w:pPr>
    <w:rPr>
      <w:rFonts w:ascii="Microsoft JhengHei" w:hAnsi="Microsoft JhengHei" w:eastAsia="Microsoft JhengHei" w:cs="Microsoft JhengHei"/>
      <w:b/>
      <w:bCs/>
      <w:sz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1"/>
    <w:pPr>
      <w:ind w:left="640"/>
    </w:pPr>
    <w:rPr>
      <w:sz w:val="24"/>
    </w:r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0">
    <w:name w:val="Table Grid"/>
    <w:basedOn w:val="9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列表段落1"/>
    <w:basedOn w:val="1"/>
    <w:qFormat/>
    <w:uiPriority w:val="0"/>
    <w:rPr>
      <w:rFonts w:ascii="Times New Roman" w:hAnsi="Times New Roman" w:eastAsia="宋体" w:cs="Times New Roman"/>
      <w:szCs w:val="22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列表段落2"/>
    <w:basedOn w:val="1"/>
    <w:qFormat/>
    <w:uiPriority w:val="99"/>
    <w:pPr>
      <w:ind w:firstLine="420" w:firstLineChars="200"/>
    </w:p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table" w:customStyle="1" w:styleId="1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7">
    <w:name w:val="页脚 字符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3847</Words>
  <Characters>3992</Characters>
  <Lines>35</Lines>
  <Paragraphs>10</Paragraphs>
  <TotalTime>186</TotalTime>
  <ScaleCrop>false</ScaleCrop>
  <LinksUpToDate>false</LinksUpToDate>
  <CharactersWithSpaces>4623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2024-01-03T01:38:00Z</dcterms:created>
  <dc:creator>胡学诗</dc:creator>
  <cp:lastModifiedBy>沈源</cp:lastModifiedBy>
  <dcterms:modified xsi:type="dcterms:W3CDTF">2024-01-03T06:20:41Z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C09CFB0DC85BA2DB9FD4396540DA0786_43</vt:lpwstr>
  </property>
</Properties>
</file>